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8D" w:rsidRDefault="00786BAD" w:rsidP="004A167D">
      <w:pPr>
        <w:jc w:val="center"/>
        <w:rPr>
          <w:rFonts w:ascii="Arial" w:hAnsi="Arial" w:cs="Arial"/>
          <w:bCs/>
          <w:color w:val="FF0000"/>
          <w:sz w:val="28"/>
        </w:rPr>
      </w:pPr>
      <w:r>
        <w:rPr>
          <w:rFonts w:ascii="Arial" w:hAnsi="Arial" w:cs="Arial"/>
          <w:bCs/>
          <w:color w:val="FF0000"/>
          <w:sz w:val="28"/>
        </w:rPr>
        <w:t>DEUDA EXTERNA</w:t>
      </w:r>
    </w:p>
    <w:p w:rsidR="00975297" w:rsidRDefault="00975297" w:rsidP="004A167D">
      <w:pPr>
        <w:jc w:val="center"/>
        <w:rPr>
          <w:rFonts w:ascii="Arial" w:hAnsi="Arial" w:cs="Arial"/>
          <w:bCs/>
          <w:color w:val="FF0000"/>
          <w:sz w:val="28"/>
        </w:rPr>
      </w:pPr>
    </w:p>
    <w:p w:rsidR="00786BAD" w:rsidRPr="00786BAD" w:rsidRDefault="00786BAD" w:rsidP="00786BAD">
      <w:pPr>
        <w:jc w:val="both"/>
        <w:rPr>
          <w:rFonts w:ascii="Arial" w:hAnsi="Arial" w:cs="Arial"/>
          <w:bCs/>
          <w:sz w:val="24"/>
        </w:rPr>
      </w:pPr>
      <w:r w:rsidRPr="00786BAD">
        <w:rPr>
          <w:rFonts w:ascii="Arial" w:hAnsi="Arial" w:cs="Arial"/>
          <w:bCs/>
          <w:sz w:val="24"/>
        </w:rPr>
        <w:t>La deuda externa es la suma de las deudas que tiene un país con entidades extranjeras. Se compone de deuda pública (la contraída por el Estado) y deuda privada (la contraíd</w:t>
      </w:r>
      <w:r>
        <w:rPr>
          <w:rFonts w:ascii="Arial" w:hAnsi="Arial" w:cs="Arial"/>
          <w:bCs/>
          <w:sz w:val="24"/>
        </w:rPr>
        <w:t>a por empresas y particulares).</w:t>
      </w:r>
    </w:p>
    <w:p w:rsidR="00786BAD" w:rsidRPr="00786BAD" w:rsidRDefault="00786BAD" w:rsidP="00786BAD">
      <w:pPr>
        <w:jc w:val="both"/>
        <w:rPr>
          <w:rFonts w:ascii="Arial" w:hAnsi="Arial" w:cs="Arial"/>
          <w:bCs/>
          <w:sz w:val="24"/>
        </w:rPr>
      </w:pPr>
      <w:r w:rsidRPr="00786BAD">
        <w:rPr>
          <w:rFonts w:ascii="Arial" w:hAnsi="Arial" w:cs="Arial"/>
          <w:bCs/>
          <w:sz w:val="24"/>
        </w:rPr>
        <w:t>La deuda externa con respecto a otros países, comúnmente se da a través de organismos como el Fondo Monetario Internacional o el B</w:t>
      </w:r>
      <w:r>
        <w:rPr>
          <w:rFonts w:ascii="Arial" w:hAnsi="Arial" w:cs="Arial"/>
          <w:bCs/>
          <w:sz w:val="24"/>
        </w:rPr>
        <w:t>anco Mundial.</w:t>
      </w:r>
    </w:p>
    <w:p w:rsidR="00786BAD" w:rsidRDefault="00786BAD" w:rsidP="00786BAD">
      <w:pPr>
        <w:jc w:val="both"/>
        <w:rPr>
          <w:rFonts w:ascii="Arial" w:hAnsi="Arial" w:cs="Arial"/>
          <w:bCs/>
          <w:sz w:val="24"/>
        </w:rPr>
      </w:pPr>
      <w:r w:rsidRPr="00786BAD">
        <w:rPr>
          <w:rFonts w:ascii="Arial" w:hAnsi="Arial" w:cs="Arial"/>
          <w:bCs/>
          <w:sz w:val="24"/>
        </w:rPr>
        <w:t>El principal argumento para que un país contraiga una deuda es que teóricamente permite conservar los recursos propios y recibir recursos ajenos para explotar, procesar o producir nuevos bienes y servicios. Sin embargo, se vuelve un problema cuando dicho dinero no se utiliza en aquello para lo que fue solicitado, cuando se usa de manera ineficiente o cuando las condiciones de devolución se endurecen ya sea por incumplimientos anteriores del deudor o por presiones externas para modificar la política económica.</w:t>
      </w:r>
    </w:p>
    <w:p w:rsidR="00786BAD" w:rsidRDefault="00786BAD" w:rsidP="00786BAD">
      <w:pPr>
        <w:jc w:val="both"/>
        <w:rPr>
          <w:rFonts w:ascii="Arial" w:hAnsi="Arial" w:cs="Arial"/>
          <w:bCs/>
          <w:sz w:val="24"/>
        </w:rPr>
      </w:pPr>
    </w:p>
    <w:p w:rsidR="00786BAD" w:rsidRPr="00786BAD" w:rsidRDefault="00786BAD" w:rsidP="00786BAD">
      <w:pPr>
        <w:jc w:val="both"/>
        <w:rPr>
          <w:rFonts w:ascii="Arial" w:hAnsi="Arial" w:cs="Arial"/>
          <w:bCs/>
          <w:color w:val="FF0000"/>
          <w:sz w:val="28"/>
        </w:rPr>
      </w:pPr>
      <w:r w:rsidRPr="00786BAD">
        <w:rPr>
          <w:rFonts w:ascii="Arial" w:hAnsi="Arial" w:cs="Arial"/>
          <w:bCs/>
          <w:color w:val="FF0000"/>
          <w:sz w:val="28"/>
        </w:rPr>
        <w:t>Origen y efectos de la deuda externa</w:t>
      </w:r>
    </w:p>
    <w:p w:rsidR="00786BAD" w:rsidRPr="00786BAD" w:rsidRDefault="00786BAD" w:rsidP="00786BAD">
      <w:pPr>
        <w:jc w:val="both"/>
        <w:rPr>
          <w:rFonts w:ascii="Arial" w:hAnsi="Arial" w:cs="Arial"/>
          <w:bCs/>
          <w:sz w:val="24"/>
        </w:rPr>
      </w:pPr>
      <w:r w:rsidRPr="00786BAD">
        <w:rPr>
          <w:rFonts w:ascii="Arial" w:hAnsi="Arial" w:cs="Arial"/>
          <w:bCs/>
          <w:sz w:val="24"/>
        </w:rPr>
        <w:t>Existen varias razones que pueden explicar el endeudamiento externo de un país. Entre estas razones encontramos:</w:t>
      </w:r>
    </w:p>
    <w:p w:rsidR="00786BAD" w:rsidRPr="00786BAD" w:rsidRDefault="00786BAD" w:rsidP="00786BAD">
      <w:pPr>
        <w:pStyle w:val="Prrafodelista"/>
        <w:numPr>
          <w:ilvl w:val="0"/>
          <w:numId w:val="32"/>
        </w:numPr>
        <w:jc w:val="both"/>
        <w:rPr>
          <w:rFonts w:ascii="Arial" w:hAnsi="Arial" w:cs="Arial"/>
          <w:bCs/>
          <w:sz w:val="24"/>
        </w:rPr>
      </w:pPr>
      <w:r w:rsidRPr="00786BAD">
        <w:rPr>
          <w:rFonts w:ascii="Arial" w:hAnsi="Arial" w:cs="Arial"/>
          <w:b/>
          <w:bCs/>
          <w:sz w:val="24"/>
        </w:rPr>
        <w:t>Inversiones en infraestructura o maquinaria:</w:t>
      </w:r>
      <w:r w:rsidRPr="00786BAD">
        <w:rPr>
          <w:rFonts w:ascii="Arial" w:hAnsi="Arial" w:cs="Arial"/>
          <w:bCs/>
          <w:sz w:val="24"/>
        </w:rPr>
        <w:t xml:space="preserve"> La necesidad de contar con fondos para hacer inversiones en infraestructura o maquinaria para el desarrollo productivo. Por ejemplo, los países se pueden endeudar para construir carreteras, puentes y túneles de modo de reducir los costos de transporte de las empresas y así fomentar el crecimiento.</w:t>
      </w:r>
    </w:p>
    <w:p w:rsidR="00786BAD" w:rsidRPr="00786BAD" w:rsidRDefault="00786BAD" w:rsidP="00786BAD">
      <w:pPr>
        <w:pStyle w:val="Prrafodelista"/>
        <w:numPr>
          <w:ilvl w:val="0"/>
          <w:numId w:val="32"/>
        </w:numPr>
        <w:jc w:val="both"/>
        <w:rPr>
          <w:rFonts w:ascii="Arial" w:hAnsi="Arial" w:cs="Arial"/>
          <w:bCs/>
          <w:sz w:val="24"/>
        </w:rPr>
      </w:pPr>
      <w:r w:rsidRPr="00786BAD">
        <w:rPr>
          <w:rFonts w:ascii="Arial" w:hAnsi="Arial" w:cs="Arial"/>
          <w:b/>
          <w:bCs/>
          <w:sz w:val="24"/>
        </w:rPr>
        <w:t>Catástrofes naturales:</w:t>
      </w:r>
      <w:r w:rsidRPr="00786BAD">
        <w:rPr>
          <w:rFonts w:ascii="Arial" w:hAnsi="Arial" w:cs="Arial"/>
          <w:bCs/>
          <w:sz w:val="24"/>
        </w:rPr>
        <w:t xml:space="preserve"> Por ejemplo, huracanes, terremotos o incendios forestales que obligan al país a reconstruir una parte importante de su territorio.</w:t>
      </w:r>
    </w:p>
    <w:p w:rsidR="00786BAD" w:rsidRPr="00786BAD" w:rsidRDefault="00786BAD" w:rsidP="00786BAD">
      <w:pPr>
        <w:pStyle w:val="Prrafodelista"/>
        <w:numPr>
          <w:ilvl w:val="0"/>
          <w:numId w:val="32"/>
        </w:numPr>
        <w:jc w:val="both"/>
        <w:rPr>
          <w:rFonts w:ascii="Arial" w:hAnsi="Arial" w:cs="Arial"/>
          <w:bCs/>
          <w:sz w:val="24"/>
        </w:rPr>
      </w:pPr>
      <w:r w:rsidRPr="00786BAD">
        <w:rPr>
          <w:rFonts w:ascii="Arial" w:hAnsi="Arial" w:cs="Arial"/>
          <w:b/>
          <w:bCs/>
          <w:sz w:val="24"/>
        </w:rPr>
        <w:t>Mala administración:</w:t>
      </w:r>
      <w:r w:rsidRPr="00786BAD">
        <w:rPr>
          <w:rFonts w:ascii="Arial" w:hAnsi="Arial" w:cs="Arial"/>
          <w:bCs/>
          <w:sz w:val="24"/>
        </w:rPr>
        <w:t xml:space="preserve"> Puede darse una mala gestión de entidades públicas y privadas que han despilfarrado recursos en actividades no rentables.</w:t>
      </w:r>
    </w:p>
    <w:p w:rsidR="00786BAD" w:rsidRDefault="00786BAD" w:rsidP="00786BAD">
      <w:pPr>
        <w:jc w:val="both"/>
        <w:rPr>
          <w:rFonts w:ascii="Arial" w:hAnsi="Arial" w:cs="Arial"/>
          <w:bCs/>
          <w:sz w:val="24"/>
        </w:rPr>
      </w:pPr>
    </w:p>
    <w:p w:rsidR="00786BAD" w:rsidRPr="00786BAD" w:rsidRDefault="00786BAD" w:rsidP="00786BAD">
      <w:pPr>
        <w:jc w:val="both"/>
        <w:rPr>
          <w:rFonts w:ascii="Arial" w:hAnsi="Arial" w:cs="Arial"/>
          <w:bCs/>
          <w:sz w:val="24"/>
        </w:rPr>
      </w:pPr>
      <w:r w:rsidRPr="00786BAD">
        <w:rPr>
          <w:rFonts w:ascii="Arial" w:hAnsi="Arial" w:cs="Arial"/>
          <w:bCs/>
          <w:sz w:val="24"/>
        </w:rPr>
        <w:t>Los efectos de la deuda externa dependen de las razones que la justifican. De esta forma, si el endeudamiento fue utilizado para inversión, tendrá un efecto positivo ya que permitirá alcanzar un mayor desarrollo futuro, el que habría sido imposible sin poder contar con los recursos rápidamente.</w:t>
      </w:r>
    </w:p>
    <w:p w:rsidR="00786BAD" w:rsidRDefault="00786BAD" w:rsidP="00786BAD">
      <w:pPr>
        <w:jc w:val="both"/>
        <w:rPr>
          <w:rFonts w:ascii="Arial" w:hAnsi="Arial" w:cs="Arial"/>
          <w:bCs/>
          <w:sz w:val="24"/>
        </w:rPr>
      </w:pPr>
      <w:r w:rsidRPr="00786BAD">
        <w:rPr>
          <w:rFonts w:ascii="Arial" w:hAnsi="Arial" w:cs="Arial"/>
          <w:bCs/>
          <w:sz w:val="24"/>
        </w:rPr>
        <w:t>Por el contrario, cuando el endeudamiento se explica por una mala administración los efectos pueden ser desastrosos. Esto, ya que se tendrá que pagar la deuda contraída (más intereses), aunque no se hayan generado nuevas fuentes de ingreso.</w:t>
      </w:r>
    </w:p>
    <w:p w:rsidR="00786BAD" w:rsidRPr="006F5E0F" w:rsidRDefault="00786BAD" w:rsidP="00786BAD">
      <w:pPr>
        <w:jc w:val="both"/>
        <w:rPr>
          <w:rFonts w:ascii="Arial" w:hAnsi="Arial" w:cs="Arial"/>
          <w:bCs/>
          <w:color w:val="FF0000"/>
          <w:sz w:val="28"/>
        </w:rPr>
      </w:pPr>
      <w:r w:rsidRPr="006F5E0F">
        <w:rPr>
          <w:rFonts w:ascii="Arial" w:hAnsi="Arial" w:cs="Arial"/>
          <w:bCs/>
          <w:color w:val="FF0000"/>
          <w:sz w:val="28"/>
        </w:rPr>
        <w:lastRenderedPageBreak/>
        <w:t>Relación entre deuda y PIB</w:t>
      </w:r>
    </w:p>
    <w:p w:rsidR="00786BAD" w:rsidRDefault="00786BAD" w:rsidP="00786BAD">
      <w:pPr>
        <w:jc w:val="both"/>
        <w:rPr>
          <w:rFonts w:ascii="Arial" w:hAnsi="Arial" w:cs="Arial"/>
          <w:bCs/>
          <w:sz w:val="24"/>
        </w:rPr>
      </w:pPr>
      <w:r w:rsidRPr="00786BAD">
        <w:rPr>
          <w:rFonts w:ascii="Arial" w:hAnsi="Arial" w:cs="Arial"/>
          <w:bCs/>
          <w:sz w:val="24"/>
        </w:rPr>
        <w:t>En economía, la relación entre deuda y PIB es el cociente entre la deuda pública de un país y su producto interno bruto (PIB). Una baja relación entre deuda y PIB indica una economía que produce y vende bienes y servicios suficientes para pagar sus deudas sin incurrir en más deuda.</w:t>
      </w:r>
    </w:p>
    <w:p w:rsidR="006F5E0F" w:rsidRDefault="006F5E0F" w:rsidP="00786BAD">
      <w:pPr>
        <w:jc w:val="both"/>
        <w:rPr>
          <w:rFonts w:ascii="Arial" w:hAnsi="Arial" w:cs="Arial"/>
          <w:bCs/>
          <w:sz w:val="24"/>
        </w:rPr>
      </w:pPr>
    </w:p>
    <w:p w:rsidR="006F5E0F" w:rsidRDefault="006F5E0F" w:rsidP="00786BAD">
      <w:pPr>
        <w:jc w:val="both"/>
        <w:rPr>
          <w:rFonts w:ascii="Arial" w:hAnsi="Arial" w:cs="Arial"/>
          <w:bCs/>
          <w:sz w:val="24"/>
        </w:rPr>
      </w:pPr>
      <w:r>
        <w:rPr>
          <w:rFonts w:ascii="Arial" w:hAnsi="Arial" w:cs="Arial"/>
          <w:bCs/>
          <w:sz w:val="24"/>
        </w:rPr>
        <w:t>DEUDA EXTERNA EN COLOMBIA</w:t>
      </w:r>
    </w:p>
    <w:p w:rsidR="006F5E0F" w:rsidRDefault="006F5E0F" w:rsidP="00786BAD">
      <w:pPr>
        <w:jc w:val="both"/>
        <w:rPr>
          <w:rFonts w:ascii="Arial" w:hAnsi="Arial" w:cs="Arial"/>
          <w:bCs/>
          <w:sz w:val="24"/>
        </w:rPr>
      </w:pPr>
      <w:r>
        <w:rPr>
          <w:noProof/>
          <w:lang w:eastAsia="es-CO"/>
        </w:rPr>
        <w:drawing>
          <wp:inline distT="0" distB="0" distL="0" distR="0">
            <wp:extent cx="5612130" cy="4217115"/>
            <wp:effectExtent l="0" t="0" r="7620" b="0"/>
            <wp:docPr id="1" name="Imagen 1" descr="Deuda externa en Colombia, marz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da externa en Colombia, marzo 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17115"/>
                    </a:xfrm>
                    <a:prstGeom prst="rect">
                      <a:avLst/>
                    </a:prstGeom>
                    <a:noFill/>
                    <a:ln>
                      <a:noFill/>
                    </a:ln>
                  </pic:spPr>
                </pic:pic>
              </a:graphicData>
            </a:graphic>
          </wp:inline>
        </w:drawing>
      </w:r>
    </w:p>
    <w:p w:rsidR="00B84C1E" w:rsidRPr="00B84C1E" w:rsidRDefault="00B84C1E" w:rsidP="00B84C1E">
      <w:pPr>
        <w:jc w:val="both"/>
        <w:rPr>
          <w:rFonts w:ascii="Arial" w:hAnsi="Arial" w:cs="Arial"/>
          <w:bCs/>
          <w:sz w:val="24"/>
        </w:rPr>
      </w:pPr>
      <w:r w:rsidRPr="00B84C1E">
        <w:rPr>
          <w:rFonts w:ascii="Arial" w:hAnsi="Arial" w:cs="Arial"/>
          <w:bCs/>
          <w:sz w:val="24"/>
        </w:rPr>
        <w:t>El Banco de la República reveló que durante el mes de marzo, la deuda externa de Colombia alcanzó los US$140.232 millones, que equivale al 44,2% del Producto Interno Bruto del país.</w:t>
      </w:r>
      <w:r>
        <w:rPr>
          <w:rFonts w:ascii="Arial" w:hAnsi="Arial" w:cs="Arial"/>
          <w:bCs/>
          <w:sz w:val="24"/>
        </w:rPr>
        <w:t xml:space="preserve"> L</w:t>
      </w:r>
      <w:r w:rsidRPr="00B84C1E">
        <w:rPr>
          <w:rFonts w:ascii="Arial" w:hAnsi="Arial" w:cs="Arial"/>
          <w:bCs/>
          <w:sz w:val="24"/>
        </w:rPr>
        <w:t>o que le dio para aumentar 1,5 % en comparación con diciembre del año pasado y tocar un nuevo histórico.</w:t>
      </w:r>
    </w:p>
    <w:p w:rsidR="00B84C1E" w:rsidRPr="00B84C1E" w:rsidRDefault="00B84C1E" w:rsidP="00B84C1E">
      <w:pPr>
        <w:jc w:val="both"/>
        <w:rPr>
          <w:rFonts w:ascii="Arial" w:hAnsi="Arial" w:cs="Arial"/>
          <w:bCs/>
          <w:sz w:val="24"/>
        </w:rPr>
      </w:pPr>
      <w:r w:rsidRPr="00B84C1E">
        <w:rPr>
          <w:rFonts w:ascii="Arial" w:hAnsi="Arial" w:cs="Arial"/>
          <w:bCs/>
          <w:sz w:val="24"/>
        </w:rPr>
        <w:t>A marzo del año pasado el indicador iba en US$132.794 millones, lo que equivalía al 41,1 %.</w:t>
      </w:r>
    </w:p>
    <w:p w:rsidR="00B84C1E" w:rsidRDefault="00B84C1E" w:rsidP="00B84C1E">
      <w:pPr>
        <w:jc w:val="both"/>
        <w:rPr>
          <w:rFonts w:ascii="Arial" w:hAnsi="Arial" w:cs="Arial"/>
          <w:bCs/>
          <w:sz w:val="24"/>
        </w:rPr>
      </w:pPr>
      <w:r w:rsidRPr="00B84C1E">
        <w:rPr>
          <w:rFonts w:ascii="Arial" w:hAnsi="Arial" w:cs="Arial"/>
          <w:bCs/>
          <w:sz w:val="24"/>
        </w:rPr>
        <w:t>De esta manera la deuda de Colombia se sitúa en el 44,2 % del Producto Interno Bruto (PIB), US$2.074 millones más, si se compara con diciembre de 2019. Dicho aumento se debe al mayor endeudamiento “de corto y de largo plazo en US$1.753 millones (7,7 %) y US$321 millones (0,3 %) respectivamente”.</w:t>
      </w:r>
    </w:p>
    <w:p w:rsidR="00B84C1E" w:rsidRPr="00B84C1E" w:rsidRDefault="00B84C1E" w:rsidP="00B84C1E">
      <w:pPr>
        <w:jc w:val="both"/>
        <w:rPr>
          <w:rFonts w:ascii="Arial" w:hAnsi="Arial" w:cs="Arial"/>
          <w:bCs/>
          <w:sz w:val="24"/>
        </w:rPr>
      </w:pPr>
      <w:r w:rsidRPr="00B84C1E">
        <w:rPr>
          <w:rFonts w:ascii="Arial" w:hAnsi="Arial" w:cs="Arial"/>
          <w:bCs/>
          <w:sz w:val="24"/>
        </w:rPr>
        <w:lastRenderedPageBreak/>
        <w:t>“El 83 % de este saldo corresponde a créditos con vencimiento original mayor a un año y el 47 % a créditos con vencimiento igual o menor a un año”, se lee en el informe del emisor. Así mismo, declara el Banrep que el saldo de deuda externa en su mayoría corresponde a préstamos y títulos de deuda.</w:t>
      </w:r>
    </w:p>
    <w:p w:rsidR="00B84C1E" w:rsidRPr="00B84C1E" w:rsidRDefault="00B84C1E" w:rsidP="00B84C1E">
      <w:pPr>
        <w:jc w:val="both"/>
        <w:rPr>
          <w:rFonts w:ascii="Arial" w:hAnsi="Arial" w:cs="Arial"/>
          <w:bCs/>
          <w:sz w:val="24"/>
        </w:rPr>
      </w:pPr>
      <w:r w:rsidRPr="00B84C1E">
        <w:rPr>
          <w:rFonts w:ascii="Arial" w:hAnsi="Arial" w:cs="Arial"/>
          <w:bCs/>
          <w:sz w:val="24"/>
        </w:rPr>
        <w:t>Del total, la deuda externa pública representa el 53 % del total, mientras que el restante 47 % es privada. El saldo del sector público totalizó entonces US$73.924 millones, que experimentaron un crecimiento de US$88 millones en comparación con el informe de diciembre.</w:t>
      </w:r>
    </w:p>
    <w:p w:rsidR="00B84C1E" w:rsidRPr="00B84C1E" w:rsidRDefault="00B84C1E" w:rsidP="00B84C1E">
      <w:pPr>
        <w:jc w:val="both"/>
        <w:rPr>
          <w:rFonts w:ascii="Arial" w:hAnsi="Arial" w:cs="Arial"/>
          <w:bCs/>
          <w:sz w:val="24"/>
        </w:rPr>
      </w:pPr>
      <w:r w:rsidRPr="00B84C1E">
        <w:rPr>
          <w:rFonts w:ascii="Arial" w:hAnsi="Arial" w:cs="Arial"/>
          <w:bCs/>
          <w:sz w:val="24"/>
        </w:rPr>
        <w:t>En igual periodo de 2019 la deuda pública llegaba al 55 % del total, mientras que la privada representaba el 45 %.</w:t>
      </w:r>
    </w:p>
    <w:p w:rsidR="00B84C1E" w:rsidRPr="00B84C1E" w:rsidRDefault="00B84C1E" w:rsidP="00B84C1E">
      <w:pPr>
        <w:jc w:val="both"/>
        <w:rPr>
          <w:rFonts w:ascii="Arial" w:hAnsi="Arial" w:cs="Arial"/>
          <w:bCs/>
          <w:sz w:val="24"/>
        </w:rPr>
      </w:pPr>
      <w:r w:rsidRPr="00B84C1E">
        <w:rPr>
          <w:rFonts w:ascii="Arial" w:hAnsi="Arial" w:cs="Arial"/>
          <w:bCs/>
          <w:sz w:val="24"/>
        </w:rPr>
        <w:t>“El aumento del saldo fue explicado por la mayor deuda de largo y de corto plazo, US$51 millones (0,1 %) y US$37 millones (4,3 %) respectivamente”, aseguró el Banco de la República.</w:t>
      </w:r>
    </w:p>
    <w:p w:rsidR="00B84C1E" w:rsidRPr="00B84C1E" w:rsidRDefault="00B84C1E" w:rsidP="00B84C1E">
      <w:pPr>
        <w:jc w:val="both"/>
        <w:rPr>
          <w:rFonts w:ascii="Arial" w:hAnsi="Arial" w:cs="Arial"/>
          <w:bCs/>
          <w:sz w:val="24"/>
        </w:rPr>
      </w:pPr>
      <w:r w:rsidRPr="00B84C1E">
        <w:rPr>
          <w:rFonts w:ascii="Arial" w:hAnsi="Arial" w:cs="Arial"/>
          <w:bCs/>
          <w:sz w:val="24"/>
        </w:rPr>
        <w:t>Mientras que la deuda privada cerró en US$66.308 millones. El 74 % correspondió a obligaciones del sector no bancario.</w:t>
      </w:r>
    </w:p>
    <w:p w:rsidR="00B84C1E" w:rsidRDefault="00B84C1E" w:rsidP="00786BAD">
      <w:pPr>
        <w:jc w:val="both"/>
        <w:rPr>
          <w:rFonts w:ascii="Arial" w:hAnsi="Arial" w:cs="Arial"/>
          <w:bCs/>
          <w:sz w:val="24"/>
        </w:rPr>
      </w:pPr>
      <w:r>
        <w:rPr>
          <w:noProof/>
          <w:lang w:eastAsia="es-CO"/>
        </w:rPr>
        <w:drawing>
          <wp:inline distT="0" distB="0" distL="0" distR="0">
            <wp:extent cx="5612130" cy="2420326"/>
            <wp:effectExtent l="0" t="0" r="7620" b="0"/>
            <wp:docPr id="3" name="Imagen 3" descr="https://www.valoraanalitik.com/wp-content/uploads/2020/06/deu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aloraanalitik.com/wp-content/uploads/2020/06/deud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420326"/>
                    </a:xfrm>
                    <a:prstGeom prst="rect">
                      <a:avLst/>
                    </a:prstGeom>
                    <a:noFill/>
                    <a:ln>
                      <a:noFill/>
                    </a:ln>
                  </pic:spPr>
                </pic:pic>
              </a:graphicData>
            </a:graphic>
          </wp:inline>
        </w:drawing>
      </w:r>
    </w:p>
    <w:p w:rsidR="00B84C1E" w:rsidRDefault="00B84C1E" w:rsidP="00786BAD">
      <w:pPr>
        <w:jc w:val="both"/>
        <w:rPr>
          <w:rFonts w:ascii="Arial" w:hAnsi="Arial" w:cs="Arial"/>
          <w:bCs/>
          <w:sz w:val="24"/>
        </w:rPr>
      </w:pPr>
    </w:p>
    <w:p w:rsidR="00B84C1E" w:rsidRDefault="00B84C1E" w:rsidP="00786BAD">
      <w:pPr>
        <w:jc w:val="both"/>
        <w:rPr>
          <w:rFonts w:ascii="Arial" w:hAnsi="Arial" w:cs="Arial"/>
          <w:bCs/>
          <w:sz w:val="24"/>
        </w:rPr>
      </w:pPr>
      <w:r w:rsidRPr="00B84C1E">
        <w:rPr>
          <w:rFonts w:ascii="Arial" w:hAnsi="Arial" w:cs="Arial"/>
          <w:bCs/>
          <w:sz w:val="24"/>
        </w:rPr>
        <w:t>Finalmente, mientras el sector no bancario aumentó su deuda en US$1.157 millones, el bancario lo hizo en US$829 frente al último mes de 2019. “Este resultado se explica principalmente por desembolsos de préstamos de corto plazo y seguido por préstamos de largo plazo”</w:t>
      </w:r>
    </w:p>
    <w:p w:rsidR="00971473" w:rsidRDefault="00971473" w:rsidP="00786BAD">
      <w:pPr>
        <w:jc w:val="both"/>
        <w:rPr>
          <w:rFonts w:ascii="Arial" w:hAnsi="Arial" w:cs="Arial"/>
          <w:bCs/>
          <w:sz w:val="24"/>
        </w:rPr>
      </w:pPr>
    </w:p>
    <w:p w:rsidR="00971473" w:rsidRDefault="00971473" w:rsidP="00786BAD">
      <w:pPr>
        <w:jc w:val="both"/>
        <w:rPr>
          <w:rFonts w:ascii="Arial" w:hAnsi="Arial" w:cs="Arial"/>
          <w:bCs/>
          <w:sz w:val="24"/>
        </w:rPr>
      </w:pPr>
    </w:p>
    <w:p w:rsidR="00971473" w:rsidRDefault="00971473" w:rsidP="00786BAD">
      <w:pPr>
        <w:jc w:val="both"/>
        <w:rPr>
          <w:rFonts w:ascii="Arial" w:hAnsi="Arial" w:cs="Arial"/>
          <w:bCs/>
          <w:sz w:val="24"/>
        </w:rPr>
      </w:pPr>
    </w:p>
    <w:p w:rsidR="00971473" w:rsidRPr="009E5168" w:rsidRDefault="00971473" w:rsidP="009E5168">
      <w:pPr>
        <w:jc w:val="both"/>
        <w:rPr>
          <w:rFonts w:ascii="Arial" w:hAnsi="Arial" w:cs="Arial"/>
          <w:bCs/>
          <w:sz w:val="24"/>
        </w:rPr>
      </w:pPr>
      <w:bookmarkStart w:id="0" w:name="_GoBack"/>
      <w:bookmarkEnd w:id="0"/>
    </w:p>
    <w:sectPr w:rsidR="00971473" w:rsidRPr="009E51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C9" w:rsidRDefault="001D43C9" w:rsidP="00BE5D24">
      <w:pPr>
        <w:spacing w:after="0" w:line="240" w:lineRule="auto"/>
      </w:pPr>
      <w:r>
        <w:separator/>
      </w:r>
    </w:p>
  </w:endnote>
  <w:endnote w:type="continuationSeparator" w:id="0">
    <w:p w:rsidR="001D43C9" w:rsidRDefault="001D43C9" w:rsidP="00BE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C9" w:rsidRDefault="001D43C9" w:rsidP="00BE5D24">
      <w:pPr>
        <w:spacing w:after="0" w:line="240" w:lineRule="auto"/>
      </w:pPr>
      <w:r>
        <w:separator/>
      </w:r>
    </w:p>
  </w:footnote>
  <w:footnote w:type="continuationSeparator" w:id="0">
    <w:p w:rsidR="001D43C9" w:rsidRDefault="001D43C9" w:rsidP="00BE5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336"/>
    <w:multiLevelType w:val="hybridMultilevel"/>
    <w:tmpl w:val="6B96C2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5F3DB4"/>
    <w:multiLevelType w:val="multilevel"/>
    <w:tmpl w:val="A3D8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256A4"/>
    <w:multiLevelType w:val="multilevel"/>
    <w:tmpl w:val="4E98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74769"/>
    <w:multiLevelType w:val="hybridMultilevel"/>
    <w:tmpl w:val="90AA3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6914D3"/>
    <w:multiLevelType w:val="multilevel"/>
    <w:tmpl w:val="1C18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87D02"/>
    <w:multiLevelType w:val="hybridMultilevel"/>
    <w:tmpl w:val="18EA1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724F16"/>
    <w:multiLevelType w:val="multilevel"/>
    <w:tmpl w:val="755C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05ED3"/>
    <w:multiLevelType w:val="hybridMultilevel"/>
    <w:tmpl w:val="2AA2D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860C81"/>
    <w:multiLevelType w:val="multilevel"/>
    <w:tmpl w:val="D714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61EA6"/>
    <w:multiLevelType w:val="multilevel"/>
    <w:tmpl w:val="1A5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34213"/>
    <w:multiLevelType w:val="multilevel"/>
    <w:tmpl w:val="2294D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4310E"/>
    <w:multiLevelType w:val="hybridMultilevel"/>
    <w:tmpl w:val="34EA3B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A910D26"/>
    <w:multiLevelType w:val="multilevel"/>
    <w:tmpl w:val="1C6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CA12FF"/>
    <w:multiLevelType w:val="multilevel"/>
    <w:tmpl w:val="FB18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1B7EA4"/>
    <w:multiLevelType w:val="multilevel"/>
    <w:tmpl w:val="7378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101D5D"/>
    <w:multiLevelType w:val="multilevel"/>
    <w:tmpl w:val="65D0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9919B8"/>
    <w:multiLevelType w:val="multilevel"/>
    <w:tmpl w:val="A6E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E235F"/>
    <w:multiLevelType w:val="multilevel"/>
    <w:tmpl w:val="759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F54E88"/>
    <w:multiLevelType w:val="hybridMultilevel"/>
    <w:tmpl w:val="087A6C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44C281A"/>
    <w:multiLevelType w:val="hybridMultilevel"/>
    <w:tmpl w:val="6B96C2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65833A1"/>
    <w:multiLevelType w:val="multilevel"/>
    <w:tmpl w:val="A68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7457E1"/>
    <w:multiLevelType w:val="hybridMultilevel"/>
    <w:tmpl w:val="4AE244C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8A16A61"/>
    <w:multiLevelType w:val="multilevel"/>
    <w:tmpl w:val="93243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7B698A"/>
    <w:multiLevelType w:val="hybridMultilevel"/>
    <w:tmpl w:val="3522D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3BF6103"/>
    <w:multiLevelType w:val="hybridMultilevel"/>
    <w:tmpl w:val="F3022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3DF3911"/>
    <w:multiLevelType w:val="multilevel"/>
    <w:tmpl w:val="E01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ED2A14"/>
    <w:multiLevelType w:val="hybridMultilevel"/>
    <w:tmpl w:val="162C14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6CD1B0C"/>
    <w:multiLevelType w:val="hybridMultilevel"/>
    <w:tmpl w:val="ABF68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8874C0F"/>
    <w:multiLevelType w:val="hybridMultilevel"/>
    <w:tmpl w:val="64405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B5F5F34"/>
    <w:multiLevelType w:val="hybridMultilevel"/>
    <w:tmpl w:val="F2B4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1CC5EC1"/>
    <w:multiLevelType w:val="hybridMultilevel"/>
    <w:tmpl w:val="2B7A4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4791193"/>
    <w:multiLevelType w:val="multilevel"/>
    <w:tmpl w:val="B9CA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5D03DB"/>
    <w:multiLevelType w:val="multilevel"/>
    <w:tmpl w:val="4DC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9"/>
  </w:num>
  <w:num w:numId="4">
    <w:abstractNumId w:val="27"/>
  </w:num>
  <w:num w:numId="5">
    <w:abstractNumId w:val="24"/>
  </w:num>
  <w:num w:numId="6">
    <w:abstractNumId w:val="6"/>
  </w:num>
  <w:num w:numId="7">
    <w:abstractNumId w:val="9"/>
  </w:num>
  <w:num w:numId="8">
    <w:abstractNumId w:val="28"/>
  </w:num>
  <w:num w:numId="9">
    <w:abstractNumId w:val="2"/>
  </w:num>
  <w:num w:numId="10">
    <w:abstractNumId w:val="13"/>
  </w:num>
  <w:num w:numId="11">
    <w:abstractNumId w:val="22"/>
  </w:num>
  <w:num w:numId="12">
    <w:abstractNumId w:val="14"/>
  </w:num>
  <w:num w:numId="13">
    <w:abstractNumId w:val="30"/>
  </w:num>
  <w:num w:numId="14">
    <w:abstractNumId w:val="16"/>
  </w:num>
  <w:num w:numId="15">
    <w:abstractNumId w:val="25"/>
  </w:num>
  <w:num w:numId="16">
    <w:abstractNumId w:val="15"/>
  </w:num>
  <w:num w:numId="17">
    <w:abstractNumId w:val="32"/>
  </w:num>
  <w:num w:numId="18">
    <w:abstractNumId w:val="4"/>
  </w:num>
  <w:num w:numId="19">
    <w:abstractNumId w:val="19"/>
  </w:num>
  <w:num w:numId="20">
    <w:abstractNumId w:val="8"/>
  </w:num>
  <w:num w:numId="21">
    <w:abstractNumId w:val="1"/>
  </w:num>
  <w:num w:numId="22">
    <w:abstractNumId w:val="0"/>
  </w:num>
  <w:num w:numId="23">
    <w:abstractNumId w:val="26"/>
  </w:num>
  <w:num w:numId="24">
    <w:abstractNumId w:val="5"/>
  </w:num>
  <w:num w:numId="25">
    <w:abstractNumId w:val="21"/>
  </w:num>
  <w:num w:numId="26">
    <w:abstractNumId w:val="23"/>
  </w:num>
  <w:num w:numId="27">
    <w:abstractNumId w:val="12"/>
  </w:num>
  <w:num w:numId="28">
    <w:abstractNumId w:val="10"/>
  </w:num>
  <w:num w:numId="29">
    <w:abstractNumId w:val="20"/>
  </w:num>
  <w:num w:numId="30">
    <w:abstractNumId w:val="17"/>
  </w:num>
  <w:num w:numId="31">
    <w:abstractNumId w:val="31"/>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25"/>
    <w:rsid w:val="000204E5"/>
    <w:rsid w:val="00027F8D"/>
    <w:rsid w:val="00056468"/>
    <w:rsid w:val="000660D1"/>
    <w:rsid w:val="00091CFC"/>
    <w:rsid w:val="000A2911"/>
    <w:rsid w:val="000D01D0"/>
    <w:rsid w:val="000E239F"/>
    <w:rsid w:val="00107353"/>
    <w:rsid w:val="00135212"/>
    <w:rsid w:val="00166294"/>
    <w:rsid w:val="001A584A"/>
    <w:rsid w:val="001D2F14"/>
    <w:rsid w:val="001D43C9"/>
    <w:rsid w:val="00203AFA"/>
    <w:rsid w:val="0022135C"/>
    <w:rsid w:val="00232D80"/>
    <w:rsid w:val="0028033C"/>
    <w:rsid w:val="002A1E74"/>
    <w:rsid w:val="002A4C96"/>
    <w:rsid w:val="002C6CF4"/>
    <w:rsid w:val="002F6BEF"/>
    <w:rsid w:val="00311046"/>
    <w:rsid w:val="00325DEB"/>
    <w:rsid w:val="003639B9"/>
    <w:rsid w:val="00373341"/>
    <w:rsid w:val="003D682B"/>
    <w:rsid w:val="0042192B"/>
    <w:rsid w:val="0045034C"/>
    <w:rsid w:val="00461E3A"/>
    <w:rsid w:val="004A167D"/>
    <w:rsid w:val="004A4E3E"/>
    <w:rsid w:val="005131FA"/>
    <w:rsid w:val="0051695C"/>
    <w:rsid w:val="00543294"/>
    <w:rsid w:val="00554CCA"/>
    <w:rsid w:val="00593550"/>
    <w:rsid w:val="005D5E98"/>
    <w:rsid w:val="00623EBE"/>
    <w:rsid w:val="00636121"/>
    <w:rsid w:val="0067012B"/>
    <w:rsid w:val="006822E0"/>
    <w:rsid w:val="006A0B16"/>
    <w:rsid w:val="006D04F4"/>
    <w:rsid w:val="006D0D1B"/>
    <w:rsid w:val="006F5E0F"/>
    <w:rsid w:val="00736444"/>
    <w:rsid w:val="0075331D"/>
    <w:rsid w:val="00755362"/>
    <w:rsid w:val="00771F26"/>
    <w:rsid w:val="00781DDC"/>
    <w:rsid w:val="00786BAD"/>
    <w:rsid w:val="007C3297"/>
    <w:rsid w:val="007C6143"/>
    <w:rsid w:val="0088158D"/>
    <w:rsid w:val="008858FB"/>
    <w:rsid w:val="008A5640"/>
    <w:rsid w:val="008F1B69"/>
    <w:rsid w:val="00902C26"/>
    <w:rsid w:val="00905112"/>
    <w:rsid w:val="00960F8D"/>
    <w:rsid w:val="00971473"/>
    <w:rsid w:val="00975297"/>
    <w:rsid w:val="00984A17"/>
    <w:rsid w:val="00992B23"/>
    <w:rsid w:val="00996900"/>
    <w:rsid w:val="009D71A9"/>
    <w:rsid w:val="009E5168"/>
    <w:rsid w:val="009F2EFF"/>
    <w:rsid w:val="00A071DD"/>
    <w:rsid w:val="00A15FA8"/>
    <w:rsid w:val="00A23C51"/>
    <w:rsid w:val="00A41CFB"/>
    <w:rsid w:val="00A55A2F"/>
    <w:rsid w:val="00A57D85"/>
    <w:rsid w:val="00A9207C"/>
    <w:rsid w:val="00AB4591"/>
    <w:rsid w:val="00AC39C8"/>
    <w:rsid w:val="00AC5C14"/>
    <w:rsid w:val="00AD4F49"/>
    <w:rsid w:val="00B22FE4"/>
    <w:rsid w:val="00B363DF"/>
    <w:rsid w:val="00B64ED5"/>
    <w:rsid w:val="00B84C1E"/>
    <w:rsid w:val="00BA386A"/>
    <w:rsid w:val="00BA786C"/>
    <w:rsid w:val="00BC47B3"/>
    <w:rsid w:val="00BC596C"/>
    <w:rsid w:val="00BC5DA7"/>
    <w:rsid w:val="00BE5D24"/>
    <w:rsid w:val="00BE733E"/>
    <w:rsid w:val="00C1530D"/>
    <w:rsid w:val="00C43936"/>
    <w:rsid w:val="00C43988"/>
    <w:rsid w:val="00C93DBC"/>
    <w:rsid w:val="00CA194F"/>
    <w:rsid w:val="00CC452E"/>
    <w:rsid w:val="00CD0CD2"/>
    <w:rsid w:val="00CF4B30"/>
    <w:rsid w:val="00CF7578"/>
    <w:rsid w:val="00D14DA7"/>
    <w:rsid w:val="00DD4C47"/>
    <w:rsid w:val="00DE4C9F"/>
    <w:rsid w:val="00E334B0"/>
    <w:rsid w:val="00E33A40"/>
    <w:rsid w:val="00E35281"/>
    <w:rsid w:val="00E606D8"/>
    <w:rsid w:val="00E62E25"/>
    <w:rsid w:val="00EB7DA6"/>
    <w:rsid w:val="00EE47C5"/>
    <w:rsid w:val="00EF5512"/>
    <w:rsid w:val="00F20B9E"/>
    <w:rsid w:val="00F5215D"/>
    <w:rsid w:val="00FA43A1"/>
    <w:rsid w:val="00FC6EA8"/>
    <w:rsid w:val="00FD03E4"/>
    <w:rsid w:val="00FE4C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8680-2123-4BA1-8312-C040C5BF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86B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FA43A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6361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A56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911"/>
    <w:pPr>
      <w:ind w:left="720"/>
      <w:contextualSpacing/>
    </w:pPr>
  </w:style>
  <w:style w:type="character" w:styleId="Hipervnculo">
    <w:name w:val="Hyperlink"/>
    <w:basedOn w:val="Fuentedeprrafopredeter"/>
    <w:uiPriority w:val="99"/>
    <w:unhideWhenUsed/>
    <w:rsid w:val="00984A17"/>
    <w:rPr>
      <w:color w:val="0000FF"/>
      <w:u w:val="single"/>
    </w:rPr>
  </w:style>
  <w:style w:type="paragraph" w:styleId="Encabezado">
    <w:name w:val="header"/>
    <w:basedOn w:val="Normal"/>
    <w:link w:val="EncabezadoCar"/>
    <w:uiPriority w:val="99"/>
    <w:unhideWhenUsed/>
    <w:rsid w:val="00BE5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D24"/>
  </w:style>
  <w:style w:type="paragraph" w:styleId="Piedepgina">
    <w:name w:val="footer"/>
    <w:basedOn w:val="Normal"/>
    <w:link w:val="PiedepginaCar"/>
    <w:uiPriority w:val="99"/>
    <w:unhideWhenUsed/>
    <w:rsid w:val="00BE5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D24"/>
  </w:style>
  <w:style w:type="character" w:customStyle="1" w:styleId="Ttulo2Car">
    <w:name w:val="Título 2 Car"/>
    <w:basedOn w:val="Fuentedeprrafopredeter"/>
    <w:link w:val="Ttulo2"/>
    <w:uiPriority w:val="9"/>
    <w:rsid w:val="00FA43A1"/>
    <w:rPr>
      <w:rFonts w:ascii="Times New Roman" w:eastAsia="Times New Roman" w:hAnsi="Times New Roman" w:cs="Times New Roman"/>
      <w:b/>
      <w:bCs/>
      <w:sz w:val="36"/>
      <w:szCs w:val="36"/>
      <w:lang w:eastAsia="es-CO"/>
    </w:rPr>
  </w:style>
  <w:style w:type="character" w:customStyle="1" w:styleId="mw-headline">
    <w:name w:val="mw-headline"/>
    <w:basedOn w:val="Fuentedeprrafopredeter"/>
    <w:rsid w:val="00FA43A1"/>
  </w:style>
  <w:style w:type="character" w:customStyle="1" w:styleId="mw-editsection">
    <w:name w:val="mw-editsection"/>
    <w:basedOn w:val="Fuentedeprrafopredeter"/>
    <w:rsid w:val="00FA43A1"/>
  </w:style>
  <w:style w:type="character" w:customStyle="1" w:styleId="mw-editsection-bracket">
    <w:name w:val="mw-editsection-bracket"/>
    <w:basedOn w:val="Fuentedeprrafopredeter"/>
    <w:rsid w:val="00FA43A1"/>
  </w:style>
  <w:style w:type="paragraph" w:styleId="NormalWeb">
    <w:name w:val="Normal (Web)"/>
    <w:basedOn w:val="Normal"/>
    <w:uiPriority w:val="99"/>
    <w:semiHidden/>
    <w:unhideWhenUsed/>
    <w:rsid w:val="00FA43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636121"/>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36121"/>
    <w:rPr>
      <w:b/>
      <w:bCs/>
    </w:rPr>
  </w:style>
  <w:style w:type="character" w:styleId="nfasis">
    <w:name w:val="Emphasis"/>
    <w:basedOn w:val="Fuentedeprrafopredeter"/>
    <w:uiPriority w:val="20"/>
    <w:qFormat/>
    <w:rsid w:val="00636121"/>
    <w:rPr>
      <w:i/>
      <w:iCs/>
    </w:rPr>
  </w:style>
  <w:style w:type="character" w:customStyle="1" w:styleId="Ttulo4Car">
    <w:name w:val="Título 4 Car"/>
    <w:basedOn w:val="Fuentedeprrafopredeter"/>
    <w:link w:val="Ttulo4"/>
    <w:uiPriority w:val="9"/>
    <w:semiHidden/>
    <w:rsid w:val="008A5640"/>
    <w:rPr>
      <w:rFonts w:asciiTheme="majorHAnsi" w:eastAsiaTheme="majorEastAsia" w:hAnsiTheme="majorHAnsi" w:cstheme="majorBidi"/>
      <w:i/>
      <w:iCs/>
      <w:color w:val="2E74B5" w:themeColor="accent1" w:themeShade="BF"/>
    </w:rPr>
  </w:style>
  <w:style w:type="table" w:styleId="Tabladecuadrcula4-nfasis1">
    <w:name w:val="Grid Table 4 Accent 1"/>
    <w:basedOn w:val="Tablanormal"/>
    <w:uiPriority w:val="49"/>
    <w:rsid w:val="0097529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786BA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410">
      <w:bodyDiv w:val="1"/>
      <w:marLeft w:val="0"/>
      <w:marRight w:val="0"/>
      <w:marTop w:val="0"/>
      <w:marBottom w:val="0"/>
      <w:divBdr>
        <w:top w:val="none" w:sz="0" w:space="0" w:color="auto"/>
        <w:left w:val="none" w:sz="0" w:space="0" w:color="auto"/>
        <w:bottom w:val="none" w:sz="0" w:space="0" w:color="auto"/>
        <w:right w:val="none" w:sz="0" w:space="0" w:color="auto"/>
      </w:divBdr>
    </w:div>
    <w:div w:id="17706518">
      <w:bodyDiv w:val="1"/>
      <w:marLeft w:val="0"/>
      <w:marRight w:val="0"/>
      <w:marTop w:val="0"/>
      <w:marBottom w:val="0"/>
      <w:divBdr>
        <w:top w:val="none" w:sz="0" w:space="0" w:color="auto"/>
        <w:left w:val="none" w:sz="0" w:space="0" w:color="auto"/>
        <w:bottom w:val="none" w:sz="0" w:space="0" w:color="auto"/>
        <w:right w:val="none" w:sz="0" w:space="0" w:color="auto"/>
      </w:divBdr>
    </w:div>
    <w:div w:id="21367930">
      <w:bodyDiv w:val="1"/>
      <w:marLeft w:val="0"/>
      <w:marRight w:val="0"/>
      <w:marTop w:val="0"/>
      <w:marBottom w:val="0"/>
      <w:divBdr>
        <w:top w:val="none" w:sz="0" w:space="0" w:color="auto"/>
        <w:left w:val="none" w:sz="0" w:space="0" w:color="auto"/>
        <w:bottom w:val="none" w:sz="0" w:space="0" w:color="auto"/>
        <w:right w:val="none" w:sz="0" w:space="0" w:color="auto"/>
      </w:divBdr>
    </w:div>
    <w:div w:id="65958536">
      <w:bodyDiv w:val="1"/>
      <w:marLeft w:val="0"/>
      <w:marRight w:val="0"/>
      <w:marTop w:val="0"/>
      <w:marBottom w:val="0"/>
      <w:divBdr>
        <w:top w:val="none" w:sz="0" w:space="0" w:color="auto"/>
        <w:left w:val="none" w:sz="0" w:space="0" w:color="auto"/>
        <w:bottom w:val="none" w:sz="0" w:space="0" w:color="auto"/>
        <w:right w:val="none" w:sz="0" w:space="0" w:color="auto"/>
      </w:divBdr>
    </w:div>
    <w:div w:id="230430575">
      <w:bodyDiv w:val="1"/>
      <w:marLeft w:val="0"/>
      <w:marRight w:val="0"/>
      <w:marTop w:val="0"/>
      <w:marBottom w:val="0"/>
      <w:divBdr>
        <w:top w:val="none" w:sz="0" w:space="0" w:color="auto"/>
        <w:left w:val="none" w:sz="0" w:space="0" w:color="auto"/>
        <w:bottom w:val="none" w:sz="0" w:space="0" w:color="auto"/>
        <w:right w:val="none" w:sz="0" w:space="0" w:color="auto"/>
      </w:divBdr>
    </w:div>
    <w:div w:id="232201455">
      <w:bodyDiv w:val="1"/>
      <w:marLeft w:val="0"/>
      <w:marRight w:val="0"/>
      <w:marTop w:val="0"/>
      <w:marBottom w:val="0"/>
      <w:divBdr>
        <w:top w:val="none" w:sz="0" w:space="0" w:color="auto"/>
        <w:left w:val="none" w:sz="0" w:space="0" w:color="auto"/>
        <w:bottom w:val="none" w:sz="0" w:space="0" w:color="auto"/>
        <w:right w:val="none" w:sz="0" w:space="0" w:color="auto"/>
      </w:divBdr>
    </w:div>
    <w:div w:id="290207922">
      <w:bodyDiv w:val="1"/>
      <w:marLeft w:val="0"/>
      <w:marRight w:val="0"/>
      <w:marTop w:val="0"/>
      <w:marBottom w:val="0"/>
      <w:divBdr>
        <w:top w:val="none" w:sz="0" w:space="0" w:color="auto"/>
        <w:left w:val="none" w:sz="0" w:space="0" w:color="auto"/>
        <w:bottom w:val="none" w:sz="0" w:space="0" w:color="auto"/>
        <w:right w:val="none" w:sz="0" w:space="0" w:color="auto"/>
      </w:divBdr>
    </w:div>
    <w:div w:id="295454825">
      <w:bodyDiv w:val="1"/>
      <w:marLeft w:val="0"/>
      <w:marRight w:val="0"/>
      <w:marTop w:val="0"/>
      <w:marBottom w:val="0"/>
      <w:divBdr>
        <w:top w:val="none" w:sz="0" w:space="0" w:color="auto"/>
        <w:left w:val="none" w:sz="0" w:space="0" w:color="auto"/>
        <w:bottom w:val="none" w:sz="0" w:space="0" w:color="auto"/>
        <w:right w:val="none" w:sz="0" w:space="0" w:color="auto"/>
      </w:divBdr>
    </w:div>
    <w:div w:id="296566966">
      <w:bodyDiv w:val="1"/>
      <w:marLeft w:val="0"/>
      <w:marRight w:val="0"/>
      <w:marTop w:val="0"/>
      <w:marBottom w:val="0"/>
      <w:divBdr>
        <w:top w:val="none" w:sz="0" w:space="0" w:color="auto"/>
        <w:left w:val="none" w:sz="0" w:space="0" w:color="auto"/>
        <w:bottom w:val="none" w:sz="0" w:space="0" w:color="auto"/>
        <w:right w:val="none" w:sz="0" w:space="0" w:color="auto"/>
      </w:divBdr>
      <w:divsChild>
        <w:div w:id="1080563594">
          <w:marLeft w:val="0"/>
          <w:marRight w:val="0"/>
          <w:marTop w:val="0"/>
          <w:marBottom w:val="0"/>
          <w:divBdr>
            <w:top w:val="none" w:sz="0" w:space="0" w:color="auto"/>
            <w:left w:val="none" w:sz="0" w:space="0" w:color="auto"/>
            <w:bottom w:val="none" w:sz="0" w:space="0" w:color="auto"/>
            <w:right w:val="none" w:sz="0" w:space="0" w:color="auto"/>
          </w:divBdr>
          <w:divsChild>
            <w:div w:id="616328788">
              <w:marLeft w:val="0"/>
              <w:marRight w:val="0"/>
              <w:marTop w:val="0"/>
              <w:marBottom w:val="0"/>
              <w:divBdr>
                <w:top w:val="none" w:sz="0" w:space="0" w:color="auto"/>
                <w:left w:val="none" w:sz="0" w:space="0" w:color="auto"/>
                <w:bottom w:val="none" w:sz="0" w:space="0" w:color="auto"/>
                <w:right w:val="none" w:sz="0" w:space="0" w:color="auto"/>
              </w:divBdr>
              <w:divsChild>
                <w:div w:id="1888757050">
                  <w:marLeft w:val="0"/>
                  <w:marRight w:val="0"/>
                  <w:marTop w:val="0"/>
                  <w:marBottom w:val="0"/>
                  <w:divBdr>
                    <w:top w:val="none" w:sz="0" w:space="0" w:color="auto"/>
                    <w:left w:val="none" w:sz="0" w:space="0" w:color="auto"/>
                    <w:bottom w:val="none" w:sz="0" w:space="0" w:color="auto"/>
                    <w:right w:val="none" w:sz="0" w:space="0" w:color="auto"/>
                  </w:divBdr>
                  <w:divsChild>
                    <w:div w:id="1110902941">
                      <w:marLeft w:val="336"/>
                      <w:marRight w:val="0"/>
                      <w:marTop w:val="120"/>
                      <w:marBottom w:val="312"/>
                      <w:divBdr>
                        <w:top w:val="none" w:sz="0" w:space="0" w:color="auto"/>
                        <w:left w:val="none" w:sz="0" w:space="0" w:color="auto"/>
                        <w:bottom w:val="none" w:sz="0" w:space="0" w:color="auto"/>
                        <w:right w:val="none" w:sz="0" w:space="0" w:color="auto"/>
                      </w:divBdr>
                      <w:divsChild>
                        <w:div w:id="16137094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17077368">
      <w:bodyDiv w:val="1"/>
      <w:marLeft w:val="0"/>
      <w:marRight w:val="0"/>
      <w:marTop w:val="0"/>
      <w:marBottom w:val="0"/>
      <w:divBdr>
        <w:top w:val="none" w:sz="0" w:space="0" w:color="auto"/>
        <w:left w:val="none" w:sz="0" w:space="0" w:color="auto"/>
        <w:bottom w:val="none" w:sz="0" w:space="0" w:color="auto"/>
        <w:right w:val="none" w:sz="0" w:space="0" w:color="auto"/>
      </w:divBdr>
    </w:div>
    <w:div w:id="332730363">
      <w:bodyDiv w:val="1"/>
      <w:marLeft w:val="0"/>
      <w:marRight w:val="0"/>
      <w:marTop w:val="0"/>
      <w:marBottom w:val="0"/>
      <w:divBdr>
        <w:top w:val="none" w:sz="0" w:space="0" w:color="auto"/>
        <w:left w:val="none" w:sz="0" w:space="0" w:color="auto"/>
        <w:bottom w:val="none" w:sz="0" w:space="0" w:color="auto"/>
        <w:right w:val="none" w:sz="0" w:space="0" w:color="auto"/>
      </w:divBdr>
    </w:div>
    <w:div w:id="356583802">
      <w:bodyDiv w:val="1"/>
      <w:marLeft w:val="0"/>
      <w:marRight w:val="0"/>
      <w:marTop w:val="0"/>
      <w:marBottom w:val="0"/>
      <w:divBdr>
        <w:top w:val="none" w:sz="0" w:space="0" w:color="auto"/>
        <w:left w:val="none" w:sz="0" w:space="0" w:color="auto"/>
        <w:bottom w:val="none" w:sz="0" w:space="0" w:color="auto"/>
        <w:right w:val="none" w:sz="0" w:space="0" w:color="auto"/>
      </w:divBdr>
    </w:div>
    <w:div w:id="389882195">
      <w:bodyDiv w:val="1"/>
      <w:marLeft w:val="0"/>
      <w:marRight w:val="0"/>
      <w:marTop w:val="0"/>
      <w:marBottom w:val="0"/>
      <w:divBdr>
        <w:top w:val="none" w:sz="0" w:space="0" w:color="auto"/>
        <w:left w:val="none" w:sz="0" w:space="0" w:color="auto"/>
        <w:bottom w:val="none" w:sz="0" w:space="0" w:color="auto"/>
        <w:right w:val="none" w:sz="0" w:space="0" w:color="auto"/>
      </w:divBdr>
    </w:div>
    <w:div w:id="425030921">
      <w:bodyDiv w:val="1"/>
      <w:marLeft w:val="0"/>
      <w:marRight w:val="0"/>
      <w:marTop w:val="0"/>
      <w:marBottom w:val="0"/>
      <w:divBdr>
        <w:top w:val="none" w:sz="0" w:space="0" w:color="auto"/>
        <w:left w:val="none" w:sz="0" w:space="0" w:color="auto"/>
        <w:bottom w:val="none" w:sz="0" w:space="0" w:color="auto"/>
        <w:right w:val="none" w:sz="0" w:space="0" w:color="auto"/>
      </w:divBdr>
    </w:div>
    <w:div w:id="508062586">
      <w:bodyDiv w:val="1"/>
      <w:marLeft w:val="0"/>
      <w:marRight w:val="0"/>
      <w:marTop w:val="0"/>
      <w:marBottom w:val="0"/>
      <w:divBdr>
        <w:top w:val="none" w:sz="0" w:space="0" w:color="auto"/>
        <w:left w:val="none" w:sz="0" w:space="0" w:color="auto"/>
        <w:bottom w:val="none" w:sz="0" w:space="0" w:color="auto"/>
        <w:right w:val="none" w:sz="0" w:space="0" w:color="auto"/>
      </w:divBdr>
    </w:div>
    <w:div w:id="537402606">
      <w:bodyDiv w:val="1"/>
      <w:marLeft w:val="0"/>
      <w:marRight w:val="0"/>
      <w:marTop w:val="0"/>
      <w:marBottom w:val="0"/>
      <w:divBdr>
        <w:top w:val="none" w:sz="0" w:space="0" w:color="auto"/>
        <w:left w:val="none" w:sz="0" w:space="0" w:color="auto"/>
        <w:bottom w:val="none" w:sz="0" w:space="0" w:color="auto"/>
        <w:right w:val="none" w:sz="0" w:space="0" w:color="auto"/>
      </w:divBdr>
    </w:div>
    <w:div w:id="785076085">
      <w:bodyDiv w:val="1"/>
      <w:marLeft w:val="0"/>
      <w:marRight w:val="0"/>
      <w:marTop w:val="0"/>
      <w:marBottom w:val="0"/>
      <w:divBdr>
        <w:top w:val="none" w:sz="0" w:space="0" w:color="auto"/>
        <w:left w:val="none" w:sz="0" w:space="0" w:color="auto"/>
        <w:bottom w:val="none" w:sz="0" w:space="0" w:color="auto"/>
        <w:right w:val="none" w:sz="0" w:space="0" w:color="auto"/>
      </w:divBdr>
    </w:div>
    <w:div w:id="798182852">
      <w:bodyDiv w:val="1"/>
      <w:marLeft w:val="0"/>
      <w:marRight w:val="0"/>
      <w:marTop w:val="0"/>
      <w:marBottom w:val="0"/>
      <w:divBdr>
        <w:top w:val="none" w:sz="0" w:space="0" w:color="auto"/>
        <w:left w:val="none" w:sz="0" w:space="0" w:color="auto"/>
        <w:bottom w:val="none" w:sz="0" w:space="0" w:color="auto"/>
        <w:right w:val="none" w:sz="0" w:space="0" w:color="auto"/>
      </w:divBdr>
    </w:div>
    <w:div w:id="836310925">
      <w:bodyDiv w:val="1"/>
      <w:marLeft w:val="0"/>
      <w:marRight w:val="0"/>
      <w:marTop w:val="0"/>
      <w:marBottom w:val="0"/>
      <w:divBdr>
        <w:top w:val="none" w:sz="0" w:space="0" w:color="auto"/>
        <w:left w:val="none" w:sz="0" w:space="0" w:color="auto"/>
        <w:bottom w:val="none" w:sz="0" w:space="0" w:color="auto"/>
        <w:right w:val="none" w:sz="0" w:space="0" w:color="auto"/>
      </w:divBdr>
    </w:div>
    <w:div w:id="920869475">
      <w:bodyDiv w:val="1"/>
      <w:marLeft w:val="0"/>
      <w:marRight w:val="0"/>
      <w:marTop w:val="0"/>
      <w:marBottom w:val="0"/>
      <w:divBdr>
        <w:top w:val="none" w:sz="0" w:space="0" w:color="auto"/>
        <w:left w:val="none" w:sz="0" w:space="0" w:color="auto"/>
        <w:bottom w:val="none" w:sz="0" w:space="0" w:color="auto"/>
        <w:right w:val="none" w:sz="0" w:space="0" w:color="auto"/>
      </w:divBdr>
      <w:divsChild>
        <w:div w:id="1201894902">
          <w:marLeft w:val="0"/>
          <w:marRight w:val="0"/>
          <w:marTop w:val="0"/>
          <w:marBottom w:val="600"/>
          <w:divBdr>
            <w:top w:val="none" w:sz="0" w:space="0" w:color="auto"/>
            <w:left w:val="none" w:sz="0" w:space="0" w:color="auto"/>
            <w:bottom w:val="none" w:sz="0" w:space="0" w:color="auto"/>
            <w:right w:val="none" w:sz="0" w:space="0" w:color="auto"/>
          </w:divBdr>
        </w:div>
      </w:divsChild>
    </w:div>
    <w:div w:id="941378494">
      <w:bodyDiv w:val="1"/>
      <w:marLeft w:val="0"/>
      <w:marRight w:val="0"/>
      <w:marTop w:val="0"/>
      <w:marBottom w:val="0"/>
      <w:divBdr>
        <w:top w:val="none" w:sz="0" w:space="0" w:color="auto"/>
        <w:left w:val="none" w:sz="0" w:space="0" w:color="auto"/>
        <w:bottom w:val="none" w:sz="0" w:space="0" w:color="auto"/>
        <w:right w:val="none" w:sz="0" w:space="0" w:color="auto"/>
      </w:divBdr>
    </w:div>
    <w:div w:id="974413819">
      <w:bodyDiv w:val="1"/>
      <w:marLeft w:val="0"/>
      <w:marRight w:val="0"/>
      <w:marTop w:val="0"/>
      <w:marBottom w:val="0"/>
      <w:divBdr>
        <w:top w:val="none" w:sz="0" w:space="0" w:color="auto"/>
        <w:left w:val="none" w:sz="0" w:space="0" w:color="auto"/>
        <w:bottom w:val="none" w:sz="0" w:space="0" w:color="auto"/>
        <w:right w:val="none" w:sz="0" w:space="0" w:color="auto"/>
      </w:divBdr>
    </w:div>
    <w:div w:id="1010063464">
      <w:bodyDiv w:val="1"/>
      <w:marLeft w:val="0"/>
      <w:marRight w:val="0"/>
      <w:marTop w:val="0"/>
      <w:marBottom w:val="0"/>
      <w:divBdr>
        <w:top w:val="none" w:sz="0" w:space="0" w:color="auto"/>
        <w:left w:val="none" w:sz="0" w:space="0" w:color="auto"/>
        <w:bottom w:val="none" w:sz="0" w:space="0" w:color="auto"/>
        <w:right w:val="none" w:sz="0" w:space="0" w:color="auto"/>
      </w:divBdr>
    </w:div>
    <w:div w:id="1080061894">
      <w:bodyDiv w:val="1"/>
      <w:marLeft w:val="0"/>
      <w:marRight w:val="0"/>
      <w:marTop w:val="0"/>
      <w:marBottom w:val="0"/>
      <w:divBdr>
        <w:top w:val="none" w:sz="0" w:space="0" w:color="auto"/>
        <w:left w:val="none" w:sz="0" w:space="0" w:color="auto"/>
        <w:bottom w:val="none" w:sz="0" w:space="0" w:color="auto"/>
        <w:right w:val="none" w:sz="0" w:space="0" w:color="auto"/>
      </w:divBdr>
    </w:div>
    <w:div w:id="1142311740">
      <w:bodyDiv w:val="1"/>
      <w:marLeft w:val="0"/>
      <w:marRight w:val="0"/>
      <w:marTop w:val="0"/>
      <w:marBottom w:val="0"/>
      <w:divBdr>
        <w:top w:val="none" w:sz="0" w:space="0" w:color="auto"/>
        <w:left w:val="none" w:sz="0" w:space="0" w:color="auto"/>
        <w:bottom w:val="none" w:sz="0" w:space="0" w:color="auto"/>
        <w:right w:val="none" w:sz="0" w:space="0" w:color="auto"/>
      </w:divBdr>
    </w:div>
    <w:div w:id="1152333158">
      <w:bodyDiv w:val="1"/>
      <w:marLeft w:val="0"/>
      <w:marRight w:val="0"/>
      <w:marTop w:val="0"/>
      <w:marBottom w:val="0"/>
      <w:divBdr>
        <w:top w:val="none" w:sz="0" w:space="0" w:color="auto"/>
        <w:left w:val="none" w:sz="0" w:space="0" w:color="auto"/>
        <w:bottom w:val="none" w:sz="0" w:space="0" w:color="auto"/>
        <w:right w:val="none" w:sz="0" w:space="0" w:color="auto"/>
      </w:divBdr>
    </w:div>
    <w:div w:id="1211959456">
      <w:bodyDiv w:val="1"/>
      <w:marLeft w:val="0"/>
      <w:marRight w:val="0"/>
      <w:marTop w:val="0"/>
      <w:marBottom w:val="0"/>
      <w:divBdr>
        <w:top w:val="none" w:sz="0" w:space="0" w:color="auto"/>
        <w:left w:val="none" w:sz="0" w:space="0" w:color="auto"/>
        <w:bottom w:val="none" w:sz="0" w:space="0" w:color="auto"/>
        <w:right w:val="none" w:sz="0" w:space="0" w:color="auto"/>
      </w:divBdr>
    </w:div>
    <w:div w:id="1304194389">
      <w:bodyDiv w:val="1"/>
      <w:marLeft w:val="0"/>
      <w:marRight w:val="0"/>
      <w:marTop w:val="0"/>
      <w:marBottom w:val="0"/>
      <w:divBdr>
        <w:top w:val="none" w:sz="0" w:space="0" w:color="auto"/>
        <w:left w:val="none" w:sz="0" w:space="0" w:color="auto"/>
        <w:bottom w:val="none" w:sz="0" w:space="0" w:color="auto"/>
        <w:right w:val="none" w:sz="0" w:space="0" w:color="auto"/>
      </w:divBdr>
    </w:div>
    <w:div w:id="1322737625">
      <w:bodyDiv w:val="1"/>
      <w:marLeft w:val="0"/>
      <w:marRight w:val="0"/>
      <w:marTop w:val="0"/>
      <w:marBottom w:val="0"/>
      <w:divBdr>
        <w:top w:val="none" w:sz="0" w:space="0" w:color="auto"/>
        <w:left w:val="none" w:sz="0" w:space="0" w:color="auto"/>
        <w:bottom w:val="none" w:sz="0" w:space="0" w:color="auto"/>
        <w:right w:val="none" w:sz="0" w:space="0" w:color="auto"/>
      </w:divBdr>
    </w:div>
    <w:div w:id="1415855496">
      <w:bodyDiv w:val="1"/>
      <w:marLeft w:val="0"/>
      <w:marRight w:val="0"/>
      <w:marTop w:val="0"/>
      <w:marBottom w:val="0"/>
      <w:divBdr>
        <w:top w:val="none" w:sz="0" w:space="0" w:color="auto"/>
        <w:left w:val="none" w:sz="0" w:space="0" w:color="auto"/>
        <w:bottom w:val="none" w:sz="0" w:space="0" w:color="auto"/>
        <w:right w:val="none" w:sz="0" w:space="0" w:color="auto"/>
      </w:divBdr>
    </w:div>
    <w:div w:id="1454904878">
      <w:bodyDiv w:val="1"/>
      <w:marLeft w:val="0"/>
      <w:marRight w:val="0"/>
      <w:marTop w:val="0"/>
      <w:marBottom w:val="0"/>
      <w:divBdr>
        <w:top w:val="none" w:sz="0" w:space="0" w:color="auto"/>
        <w:left w:val="none" w:sz="0" w:space="0" w:color="auto"/>
        <w:bottom w:val="none" w:sz="0" w:space="0" w:color="auto"/>
        <w:right w:val="none" w:sz="0" w:space="0" w:color="auto"/>
      </w:divBdr>
    </w:div>
    <w:div w:id="1477458083">
      <w:bodyDiv w:val="1"/>
      <w:marLeft w:val="0"/>
      <w:marRight w:val="0"/>
      <w:marTop w:val="0"/>
      <w:marBottom w:val="0"/>
      <w:divBdr>
        <w:top w:val="none" w:sz="0" w:space="0" w:color="auto"/>
        <w:left w:val="none" w:sz="0" w:space="0" w:color="auto"/>
        <w:bottom w:val="none" w:sz="0" w:space="0" w:color="auto"/>
        <w:right w:val="none" w:sz="0" w:space="0" w:color="auto"/>
      </w:divBdr>
    </w:div>
    <w:div w:id="1489319154">
      <w:bodyDiv w:val="1"/>
      <w:marLeft w:val="0"/>
      <w:marRight w:val="0"/>
      <w:marTop w:val="0"/>
      <w:marBottom w:val="0"/>
      <w:divBdr>
        <w:top w:val="none" w:sz="0" w:space="0" w:color="auto"/>
        <w:left w:val="none" w:sz="0" w:space="0" w:color="auto"/>
        <w:bottom w:val="none" w:sz="0" w:space="0" w:color="auto"/>
        <w:right w:val="none" w:sz="0" w:space="0" w:color="auto"/>
      </w:divBdr>
    </w:div>
    <w:div w:id="1509981529">
      <w:bodyDiv w:val="1"/>
      <w:marLeft w:val="0"/>
      <w:marRight w:val="0"/>
      <w:marTop w:val="0"/>
      <w:marBottom w:val="0"/>
      <w:divBdr>
        <w:top w:val="none" w:sz="0" w:space="0" w:color="auto"/>
        <w:left w:val="none" w:sz="0" w:space="0" w:color="auto"/>
        <w:bottom w:val="none" w:sz="0" w:space="0" w:color="auto"/>
        <w:right w:val="none" w:sz="0" w:space="0" w:color="auto"/>
      </w:divBdr>
    </w:div>
    <w:div w:id="1610815521">
      <w:bodyDiv w:val="1"/>
      <w:marLeft w:val="0"/>
      <w:marRight w:val="0"/>
      <w:marTop w:val="0"/>
      <w:marBottom w:val="0"/>
      <w:divBdr>
        <w:top w:val="none" w:sz="0" w:space="0" w:color="auto"/>
        <w:left w:val="none" w:sz="0" w:space="0" w:color="auto"/>
        <w:bottom w:val="none" w:sz="0" w:space="0" w:color="auto"/>
        <w:right w:val="none" w:sz="0" w:space="0" w:color="auto"/>
      </w:divBdr>
    </w:div>
    <w:div w:id="1636829922">
      <w:bodyDiv w:val="1"/>
      <w:marLeft w:val="0"/>
      <w:marRight w:val="0"/>
      <w:marTop w:val="0"/>
      <w:marBottom w:val="0"/>
      <w:divBdr>
        <w:top w:val="none" w:sz="0" w:space="0" w:color="auto"/>
        <w:left w:val="none" w:sz="0" w:space="0" w:color="auto"/>
        <w:bottom w:val="none" w:sz="0" w:space="0" w:color="auto"/>
        <w:right w:val="none" w:sz="0" w:space="0" w:color="auto"/>
      </w:divBdr>
    </w:div>
    <w:div w:id="1645891318">
      <w:bodyDiv w:val="1"/>
      <w:marLeft w:val="0"/>
      <w:marRight w:val="0"/>
      <w:marTop w:val="0"/>
      <w:marBottom w:val="0"/>
      <w:divBdr>
        <w:top w:val="none" w:sz="0" w:space="0" w:color="auto"/>
        <w:left w:val="none" w:sz="0" w:space="0" w:color="auto"/>
        <w:bottom w:val="none" w:sz="0" w:space="0" w:color="auto"/>
        <w:right w:val="none" w:sz="0" w:space="0" w:color="auto"/>
      </w:divBdr>
      <w:divsChild>
        <w:div w:id="1010179263">
          <w:marLeft w:val="0"/>
          <w:marRight w:val="0"/>
          <w:marTop w:val="0"/>
          <w:marBottom w:val="0"/>
          <w:divBdr>
            <w:top w:val="none" w:sz="0" w:space="0" w:color="auto"/>
            <w:left w:val="none" w:sz="0" w:space="0" w:color="auto"/>
            <w:bottom w:val="none" w:sz="0" w:space="0" w:color="auto"/>
            <w:right w:val="none" w:sz="0" w:space="0" w:color="auto"/>
          </w:divBdr>
          <w:divsChild>
            <w:div w:id="19505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5434">
      <w:bodyDiv w:val="1"/>
      <w:marLeft w:val="0"/>
      <w:marRight w:val="0"/>
      <w:marTop w:val="0"/>
      <w:marBottom w:val="0"/>
      <w:divBdr>
        <w:top w:val="none" w:sz="0" w:space="0" w:color="auto"/>
        <w:left w:val="none" w:sz="0" w:space="0" w:color="auto"/>
        <w:bottom w:val="none" w:sz="0" w:space="0" w:color="auto"/>
        <w:right w:val="none" w:sz="0" w:space="0" w:color="auto"/>
      </w:divBdr>
    </w:div>
    <w:div w:id="1696610134">
      <w:bodyDiv w:val="1"/>
      <w:marLeft w:val="0"/>
      <w:marRight w:val="0"/>
      <w:marTop w:val="0"/>
      <w:marBottom w:val="0"/>
      <w:divBdr>
        <w:top w:val="none" w:sz="0" w:space="0" w:color="auto"/>
        <w:left w:val="none" w:sz="0" w:space="0" w:color="auto"/>
        <w:bottom w:val="none" w:sz="0" w:space="0" w:color="auto"/>
        <w:right w:val="none" w:sz="0" w:space="0" w:color="auto"/>
      </w:divBdr>
    </w:div>
    <w:div w:id="1783719052">
      <w:bodyDiv w:val="1"/>
      <w:marLeft w:val="0"/>
      <w:marRight w:val="0"/>
      <w:marTop w:val="0"/>
      <w:marBottom w:val="0"/>
      <w:divBdr>
        <w:top w:val="none" w:sz="0" w:space="0" w:color="auto"/>
        <w:left w:val="none" w:sz="0" w:space="0" w:color="auto"/>
        <w:bottom w:val="none" w:sz="0" w:space="0" w:color="auto"/>
        <w:right w:val="none" w:sz="0" w:space="0" w:color="auto"/>
      </w:divBdr>
      <w:divsChild>
        <w:div w:id="45183460">
          <w:marLeft w:val="0"/>
          <w:marRight w:val="0"/>
          <w:marTop w:val="450"/>
          <w:marBottom w:val="450"/>
          <w:divBdr>
            <w:top w:val="none" w:sz="0" w:space="0" w:color="auto"/>
            <w:left w:val="none" w:sz="0" w:space="0" w:color="auto"/>
            <w:bottom w:val="none" w:sz="0" w:space="0" w:color="auto"/>
            <w:right w:val="none" w:sz="0" w:space="0" w:color="auto"/>
          </w:divBdr>
          <w:divsChild>
            <w:div w:id="463810514">
              <w:marLeft w:val="0"/>
              <w:marRight w:val="0"/>
              <w:marTop w:val="0"/>
              <w:marBottom w:val="0"/>
              <w:divBdr>
                <w:top w:val="none" w:sz="0" w:space="0" w:color="auto"/>
                <w:left w:val="none" w:sz="0" w:space="0" w:color="auto"/>
                <w:bottom w:val="none" w:sz="0" w:space="0" w:color="auto"/>
                <w:right w:val="none" w:sz="0" w:space="0" w:color="auto"/>
              </w:divBdr>
            </w:div>
            <w:div w:id="8153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875">
      <w:bodyDiv w:val="1"/>
      <w:marLeft w:val="0"/>
      <w:marRight w:val="0"/>
      <w:marTop w:val="0"/>
      <w:marBottom w:val="0"/>
      <w:divBdr>
        <w:top w:val="none" w:sz="0" w:space="0" w:color="auto"/>
        <w:left w:val="none" w:sz="0" w:space="0" w:color="auto"/>
        <w:bottom w:val="none" w:sz="0" w:space="0" w:color="auto"/>
        <w:right w:val="none" w:sz="0" w:space="0" w:color="auto"/>
      </w:divBdr>
    </w:div>
    <w:div w:id="1801874165">
      <w:bodyDiv w:val="1"/>
      <w:marLeft w:val="0"/>
      <w:marRight w:val="0"/>
      <w:marTop w:val="0"/>
      <w:marBottom w:val="0"/>
      <w:divBdr>
        <w:top w:val="none" w:sz="0" w:space="0" w:color="auto"/>
        <w:left w:val="none" w:sz="0" w:space="0" w:color="auto"/>
        <w:bottom w:val="none" w:sz="0" w:space="0" w:color="auto"/>
        <w:right w:val="none" w:sz="0" w:space="0" w:color="auto"/>
      </w:divBdr>
    </w:div>
    <w:div w:id="1810590162">
      <w:bodyDiv w:val="1"/>
      <w:marLeft w:val="0"/>
      <w:marRight w:val="0"/>
      <w:marTop w:val="0"/>
      <w:marBottom w:val="0"/>
      <w:divBdr>
        <w:top w:val="none" w:sz="0" w:space="0" w:color="auto"/>
        <w:left w:val="none" w:sz="0" w:space="0" w:color="auto"/>
        <w:bottom w:val="none" w:sz="0" w:space="0" w:color="auto"/>
        <w:right w:val="none" w:sz="0" w:space="0" w:color="auto"/>
      </w:divBdr>
    </w:div>
    <w:div w:id="1823693309">
      <w:bodyDiv w:val="1"/>
      <w:marLeft w:val="0"/>
      <w:marRight w:val="0"/>
      <w:marTop w:val="0"/>
      <w:marBottom w:val="0"/>
      <w:divBdr>
        <w:top w:val="none" w:sz="0" w:space="0" w:color="auto"/>
        <w:left w:val="none" w:sz="0" w:space="0" w:color="auto"/>
        <w:bottom w:val="none" w:sz="0" w:space="0" w:color="auto"/>
        <w:right w:val="none" w:sz="0" w:space="0" w:color="auto"/>
      </w:divBdr>
    </w:div>
    <w:div w:id="1834252734">
      <w:bodyDiv w:val="1"/>
      <w:marLeft w:val="0"/>
      <w:marRight w:val="0"/>
      <w:marTop w:val="0"/>
      <w:marBottom w:val="0"/>
      <w:divBdr>
        <w:top w:val="none" w:sz="0" w:space="0" w:color="auto"/>
        <w:left w:val="none" w:sz="0" w:space="0" w:color="auto"/>
        <w:bottom w:val="none" w:sz="0" w:space="0" w:color="auto"/>
        <w:right w:val="none" w:sz="0" w:space="0" w:color="auto"/>
      </w:divBdr>
    </w:div>
    <w:div w:id="1928463770">
      <w:bodyDiv w:val="1"/>
      <w:marLeft w:val="0"/>
      <w:marRight w:val="0"/>
      <w:marTop w:val="0"/>
      <w:marBottom w:val="0"/>
      <w:divBdr>
        <w:top w:val="none" w:sz="0" w:space="0" w:color="auto"/>
        <w:left w:val="none" w:sz="0" w:space="0" w:color="auto"/>
        <w:bottom w:val="none" w:sz="0" w:space="0" w:color="auto"/>
        <w:right w:val="none" w:sz="0" w:space="0" w:color="auto"/>
      </w:divBdr>
    </w:div>
    <w:div w:id="1936787863">
      <w:bodyDiv w:val="1"/>
      <w:marLeft w:val="0"/>
      <w:marRight w:val="0"/>
      <w:marTop w:val="0"/>
      <w:marBottom w:val="0"/>
      <w:divBdr>
        <w:top w:val="none" w:sz="0" w:space="0" w:color="auto"/>
        <w:left w:val="none" w:sz="0" w:space="0" w:color="auto"/>
        <w:bottom w:val="none" w:sz="0" w:space="0" w:color="auto"/>
        <w:right w:val="none" w:sz="0" w:space="0" w:color="auto"/>
      </w:divBdr>
    </w:div>
    <w:div w:id="1955557234">
      <w:bodyDiv w:val="1"/>
      <w:marLeft w:val="0"/>
      <w:marRight w:val="0"/>
      <w:marTop w:val="0"/>
      <w:marBottom w:val="0"/>
      <w:divBdr>
        <w:top w:val="none" w:sz="0" w:space="0" w:color="auto"/>
        <w:left w:val="none" w:sz="0" w:space="0" w:color="auto"/>
        <w:bottom w:val="none" w:sz="0" w:space="0" w:color="auto"/>
        <w:right w:val="none" w:sz="0" w:space="0" w:color="auto"/>
      </w:divBdr>
      <w:divsChild>
        <w:div w:id="1976641171">
          <w:marLeft w:val="0"/>
          <w:marRight w:val="0"/>
          <w:marTop w:val="450"/>
          <w:marBottom w:val="450"/>
          <w:divBdr>
            <w:top w:val="none" w:sz="0" w:space="0" w:color="auto"/>
            <w:left w:val="none" w:sz="0" w:space="0" w:color="auto"/>
            <w:bottom w:val="none" w:sz="0" w:space="0" w:color="auto"/>
            <w:right w:val="none" w:sz="0" w:space="0" w:color="auto"/>
          </w:divBdr>
          <w:divsChild>
            <w:div w:id="1443960661">
              <w:marLeft w:val="0"/>
              <w:marRight w:val="0"/>
              <w:marTop w:val="0"/>
              <w:marBottom w:val="0"/>
              <w:divBdr>
                <w:top w:val="none" w:sz="0" w:space="0" w:color="auto"/>
                <w:left w:val="none" w:sz="0" w:space="0" w:color="auto"/>
                <w:bottom w:val="none" w:sz="0" w:space="0" w:color="auto"/>
                <w:right w:val="none" w:sz="0" w:space="0" w:color="auto"/>
              </w:divBdr>
            </w:div>
            <w:div w:id="5771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2020-07-02T02:43:00Z</dcterms:created>
  <dcterms:modified xsi:type="dcterms:W3CDTF">2020-07-17T01:57:00Z</dcterms:modified>
</cp:coreProperties>
</file>