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ED" w:rsidRPr="00E34259" w:rsidRDefault="00FE14ED" w:rsidP="00FE14ED">
      <w:pPr>
        <w:jc w:val="center"/>
        <w:rPr>
          <w:rFonts w:ascii="Arial" w:hAnsi="Arial" w:cs="Arial"/>
          <w:color w:val="FF3399"/>
          <w:sz w:val="28"/>
        </w:rPr>
      </w:pPr>
      <w:r w:rsidRPr="00E34259">
        <w:rPr>
          <w:rFonts w:ascii="Arial" w:hAnsi="Arial" w:cs="Arial"/>
          <w:color w:val="FF3399"/>
          <w:sz w:val="28"/>
        </w:rPr>
        <w:t xml:space="preserve">TALLER DE CONSTITUCION POLITICA </w:t>
      </w:r>
    </w:p>
    <w:p w:rsidR="00FE14ED" w:rsidRPr="00B000F3" w:rsidRDefault="00FE14ED" w:rsidP="00FE14ED">
      <w:pPr>
        <w:jc w:val="center"/>
        <w:rPr>
          <w:rFonts w:ascii="Arial" w:hAnsi="Arial" w:cs="Arial"/>
          <w:color w:val="FF0000"/>
        </w:rPr>
      </w:pPr>
    </w:p>
    <w:p w:rsidR="00FE14ED" w:rsidRPr="00E34259" w:rsidRDefault="00E34259" w:rsidP="00FE14ED">
      <w:pPr>
        <w:rPr>
          <w:rFonts w:ascii="Arial" w:hAnsi="Arial" w:cs="Arial"/>
          <w:sz w:val="28"/>
          <w:shd w:val="clear" w:color="auto" w:fill="FFFFFF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8C22347" wp14:editId="4AD05CDE">
            <wp:simplePos x="0" y="0"/>
            <wp:positionH relativeFrom="column">
              <wp:posOffset>-90170</wp:posOffset>
            </wp:positionH>
            <wp:positionV relativeFrom="paragraph">
              <wp:posOffset>654050</wp:posOffset>
            </wp:positionV>
            <wp:extent cx="5781675" cy="3510206"/>
            <wp:effectExtent l="0" t="0" r="0" b="0"/>
            <wp:wrapNone/>
            <wp:docPr id="13" name="Imagen 1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51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1.</w:t>
      </w:r>
      <w:r w:rsidRPr="00E34259">
        <w:rPr>
          <w:rFonts w:ascii="Arial" w:hAnsi="Arial" w:cs="Arial"/>
          <w:sz w:val="28"/>
          <w:shd w:val="clear" w:color="auto" w:fill="FFFFFF"/>
        </w:rPr>
        <w:t xml:space="preserve"> A</w:t>
      </w:r>
      <w:r w:rsidR="00FE14ED" w:rsidRPr="00E34259">
        <w:rPr>
          <w:rFonts w:ascii="Arial" w:hAnsi="Arial" w:cs="Arial"/>
          <w:sz w:val="28"/>
          <w:shd w:val="clear" w:color="auto" w:fill="FFFFFF"/>
        </w:rPr>
        <w:t xml:space="preserve"> partir del vídeo realizar una síntesis y un mapa conceptual sobre el proceso de reforma que se dio en la Constitución Política de Colombia de 1886.</w:t>
      </w:r>
    </w:p>
    <w:p w:rsidR="00FE14ED" w:rsidRPr="00E34259" w:rsidRDefault="00FE14ED" w:rsidP="00FE14ED">
      <w:pPr>
        <w:rPr>
          <w:rFonts w:ascii="Arial" w:hAnsi="Arial" w:cs="Arial"/>
          <w:b/>
          <w:bCs/>
          <w:sz w:val="28"/>
          <w:shd w:val="clear" w:color="auto" w:fill="FFFFFF"/>
        </w:rPr>
      </w:pPr>
      <w:r w:rsidRPr="00E34259">
        <w:rPr>
          <w:rFonts w:ascii="Arial" w:hAnsi="Arial" w:cs="Arial"/>
          <w:b/>
          <w:bCs/>
          <w:sz w:val="28"/>
          <w:shd w:val="clear" w:color="auto" w:fill="FFFFFF"/>
        </w:rPr>
        <w:t xml:space="preserve"> </w:t>
      </w: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E34259" w:rsidRDefault="00E34259" w:rsidP="00B000F3">
      <w:pPr>
        <w:jc w:val="center"/>
        <w:rPr>
          <w:rFonts w:ascii="Arial" w:hAnsi="Arial" w:cs="Arial"/>
        </w:rPr>
      </w:pPr>
    </w:p>
    <w:p w:rsidR="00FE14ED" w:rsidRPr="00E34259" w:rsidRDefault="00FE14ED" w:rsidP="00E34259">
      <w:pPr>
        <w:rPr>
          <w:rFonts w:ascii="Arial" w:hAnsi="Arial" w:cs="Arial"/>
          <w:sz w:val="28"/>
          <w:shd w:val="clear" w:color="auto" w:fill="FFFFFF"/>
        </w:rPr>
      </w:pPr>
      <w:r w:rsidRPr="00E34259">
        <w:rPr>
          <w:rFonts w:ascii="Arial" w:hAnsi="Arial" w:cs="Arial"/>
          <w:sz w:val="28"/>
          <w:shd w:val="clear" w:color="auto" w:fill="FFFFFF"/>
        </w:rPr>
        <w:t>Completar cada uno de los aspectos del mapa conceptual que forman parte de la Constitución Política de 1991</w:t>
      </w:r>
      <w:r w:rsidR="00E34259">
        <w:rPr>
          <w:rFonts w:ascii="Arial" w:hAnsi="Arial" w:cs="Arial"/>
          <w:sz w:val="28"/>
          <w:shd w:val="clear" w:color="auto" w:fill="FFFFFF"/>
        </w:rPr>
        <w:t>.</w:t>
      </w:r>
    </w:p>
    <w:p w:rsidR="00E34259" w:rsidRDefault="00FE14ED" w:rsidP="00FE14ED">
      <w:pPr>
        <w:rPr>
          <w:rFonts w:ascii="Arial" w:hAnsi="Arial" w:cs="Arial"/>
          <w:color w:val="FF3399"/>
          <w:sz w:val="32"/>
          <w:shd w:val="clear" w:color="auto" w:fill="FFFFFF"/>
        </w:rPr>
      </w:pPr>
      <w:r w:rsidRPr="00B000F3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34259" w:rsidRPr="00E34259">
        <w:rPr>
          <w:rFonts w:ascii="Arial" w:hAnsi="Arial" w:cs="Arial"/>
          <w:color w:val="FF3399"/>
          <w:sz w:val="32"/>
          <w:shd w:val="clear" w:color="auto" w:fill="FFFFFF"/>
        </w:rPr>
        <w:t>Solución</w:t>
      </w:r>
      <w:r w:rsidR="00E34259">
        <w:rPr>
          <w:rFonts w:ascii="Arial" w:hAnsi="Arial" w:cs="Arial"/>
          <w:color w:val="FF3399"/>
          <w:sz w:val="32"/>
          <w:shd w:val="clear" w:color="auto" w:fill="FFFFFF"/>
        </w:rPr>
        <w:t>:</w:t>
      </w:r>
    </w:p>
    <w:p w:rsidR="00FE14ED" w:rsidRPr="00E34259" w:rsidRDefault="00FE14ED" w:rsidP="00FE14ED">
      <w:pPr>
        <w:rPr>
          <w:rFonts w:ascii="Arial" w:hAnsi="Arial" w:cs="Arial"/>
          <w:color w:val="FF3399"/>
          <w:sz w:val="32"/>
          <w:shd w:val="clear" w:color="auto" w:fill="FFFFFF"/>
        </w:rPr>
      </w:pPr>
      <w:r w:rsidRPr="00E34259">
        <w:rPr>
          <w:rFonts w:ascii="Arial" w:hAnsi="Arial" w:cs="Arial"/>
          <w:color w:val="FF3399"/>
          <w:sz w:val="28"/>
          <w:shd w:val="clear" w:color="auto" w:fill="FFFFFF"/>
        </w:rPr>
        <w:t>1R</w:t>
      </w:r>
      <w:r w:rsidR="00E34259" w:rsidRPr="00E34259">
        <w:rPr>
          <w:rFonts w:ascii="Arial" w:hAnsi="Arial" w:cs="Arial"/>
          <w:color w:val="FF3399"/>
          <w:sz w:val="28"/>
          <w:shd w:val="clear" w:color="auto" w:fill="FFFFFF"/>
        </w:rPr>
        <w:t xml:space="preserve">/ </w:t>
      </w:r>
      <w:r w:rsidRPr="00E34259">
        <w:rPr>
          <w:rFonts w:ascii="Arial" w:hAnsi="Arial" w:cs="Arial"/>
          <w:sz w:val="28"/>
          <w:shd w:val="clear" w:color="auto" w:fill="FFFFFF"/>
        </w:rPr>
        <w:t xml:space="preserve">La primera reforma que surgió la constitución de 1886 se realizó a través de la ley 41 de 1894, en la cual se dispuso a derogar el </w:t>
      </w:r>
      <w:r w:rsidR="00E34259" w:rsidRPr="00E34259">
        <w:rPr>
          <w:rFonts w:ascii="Arial" w:hAnsi="Arial" w:cs="Arial"/>
          <w:sz w:val="28"/>
          <w:shd w:val="clear" w:color="auto" w:fill="FFFFFF"/>
        </w:rPr>
        <w:t>artículo</w:t>
      </w:r>
      <w:r w:rsidRPr="00E34259">
        <w:rPr>
          <w:rFonts w:ascii="Arial" w:hAnsi="Arial" w:cs="Arial"/>
          <w:sz w:val="28"/>
          <w:shd w:val="clear" w:color="auto" w:fill="FFFFFF"/>
        </w:rPr>
        <w:t xml:space="preserve"> 201 de la carta y el ordinal 4 del </w:t>
      </w:r>
      <w:r w:rsidR="00E34259" w:rsidRPr="00E34259">
        <w:rPr>
          <w:rFonts w:ascii="Arial" w:hAnsi="Arial" w:cs="Arial"/>
          <w:sz w:val="28"/>
          <w:shd w:val="clear" w:color="auto" w:fill="FFFFFF"/>
        </w:rPr>
        <w:t>artículo</w:t>
      </w:r>
      <w:r w:rsidRPr="00E34259">
        <w:rPr>
          <w:rFonts w:ascii="Arial" w:hAnsi="Arial" w:cs="Arial"/>
          <w:sz w:val="28"/>
          <w:shd w:val="clear" w:color="auto" w:fill="FFFFFF"/>
        </w:rPr>
        <w:t xml:space="preserve"> 76. En consecuencia, el Departamento de Panamá quedo comprendiendo en la legislación general de la Republica, pudiendo legislativas y ejecutivas especiales para dicho departamento.</w:t>
      </w:r>
    </w:p>
    <w:p w:rsidR="00FE14ED" w:rsidRPr="00E34259" w:rsidRDefault="00FE14ED" w:rsidP="00FE14ED">
      <w:pPr>
        <w:rPr>
          <w:rFonts w:ascii="Arial" w:hAnsi="Arial" w:cs="Arial"/>
          <w:sz w:val="28"/>
          <w:shd w:val="clear" w:color="auto" w:fill="FFFFFF"/>
        </w:rPr>
      </w:pPr>
      <w:r w:rsidRPr="00E34259">
        <w:rPr>
          <w:rFonts w:ascii="Arial" w:hAnsi="Arial" w:cs="Arial"/>
          <w:sz w:val="28"/>
          <w:shd w:val="clear" w:color="auto" w:fill="FFFFFF"/>
        </w:rPr>
        <w:t xml:space="preserve">La segunda enmienda fue por ley 24 de 1898, que sustituyó el </w:t>
      </w:r>
      <w:r w:rsidR="00E34259" w:rsidRPr="00E34259">
        <w:rPr>
          <w:rFonts w:ascii="Arial" w:hAnsi="Arial" w:cs="Arial"/>
          <w:sz w:val="28"/>
          <w:shd w:val="clear" w:color="auto" w:fill="FFFFFF"/>
        </w:rPr>
        <w:t>artículo</w:t>
      </w:r>
      <w:r w:rsidRPr="00E34259">
        <w:rPr>
          <w:rFonts w:ascii="Arial" w:hAnsi="Arial" w:cs="Arial"/>
          <w:sz w:val="28"/>
          <w:shd w:val="clear" w:color="auto" w:fill="FFFFFF"/>
        </w:rPr>
        <w:t xml:space="preserve"> 205 de la codificación original.</w:t>
      </w:r>
    </w:p>
    <w:p w:rsidR="00FE14ED" w:rsidRPr="00E34259" w:rsidRDefault="00FE14ED" w:rsidP="00FE14ED">
      <w:pPr>
        <w:rPr>
          <w:rFonts w:ascii="Arial" w:hAnsi="Arial" w:cs="Arial"/>
          <w:sz w:val="28"/>
          <w:shd w:val="clear" w:color="auto" w:fill="FFFFFF"/>
        </w:rPr>
      </w:pPr>
      <w:r w:rsidRPr="00E34259">
        <w:rPr>
          <w:rFonts w:ascii="Arial" w:hAnsi="Arial" w:cs="Arial"/>
          <w:sz w:val="28"/>
          <w:shd w:val="clear" w:color="auto" w:fill="FFFFFF"/>
        </w:rPr>
        <w:t xml:space="preserve">El acto reformatorio 01 de 27 de marzo de 1905 estableció un periodo de cinco años para los magistrados de la Corte suprema de Justicia y de cuatro para los tribunales superiores, quienes por una </w:t>
      </w:r>
      <w:r w:rsidRPr="00E34259">
        <w:rPr>
          <w:rFonts w:ascii="Arial" w:hAnsi="Arial" w:cs="Arial"/>
          <w:sz w:val="28"/>
          <w:shd w:val="clear" w:color="auto" w:fill="FFFFFF"/>
        </w:rPr>
        <w:lastRenderedPageBreak/>
        <w:t xml:space="preserve">sola vez fueron nombrados en su totalidad por el presidente de la Republica para el periodo que se iniciaba el 1 de mayo. </w:t>
      </w:r>
    </w:p>
    <w:p w:rsidR="00FE14ED" w:rsidRPr="00E34259" w:rsidRDefault="00FE14ED" w:rsidP="00FE14ED">
      <w:pPr>
        <w:rPr>
          <w:rFonts w:ascii="Arial" w:hAnsi="Arial" w:cs="Arial"/>
          <w:sz w:val="28"/>
          <w:shd w:val="clear" w:color="auto" w:fill="FFFFFF"/>
        </w:rPr>
      </w:pPr>
      <w:r w:rsidRPr="00E34259">
        <w:rPr>
          <w:rFonts w:ascii="Arial" w:hAnsi="Arial" w:cs="Arial"/>
          <w:sz w:val="28"/>
          <w:shd w:val="clear" w:color="auto" w:fill="FFFFFF"/>
        </w:rPr>
        <w:t xml:space="preserve"> </w:t>
      </w:r>
    </w:p>
    <w:p w:rsidR="00FE14ED" w:rsidRPr="00FE14ED" w:rsidRDefault="00FE14ED" w:rsidP="00FE14ED">
      <w:pPr>
        <w:rPr>
          <w:rFonts w:ascii="Arial" w:hAnsi="Arial" w:cs="Arial"/>
          <w:shd w:val="clear" w:color="auto" w:fill="FFFFFF"/>
        </w:rPr>
      </w:pPr>
      <w:r w:rsidRPr="00FE14ED">
        <w:rPr>
          <w:rFonts w:ascii="Arial" w:hAnsi="Arial" w:cs="Arial"/>
          <w:shd w:val="clear" w:color="auto" w:fill="FFFFFF"/>
        </w:rPr>
        <w:t xml:space="preserve"> </w:t>
      </w:r>
    </w:p>
    <w:p w:rsidR="00FE14ED" w:rsidRPr="00FE14ED" w:rsidRDefault="00E34259" w:rsidP="00FE14ED">
      <w:pPr>
        <w:rPr>
          <w:rFonts w:ascii="Arial" w:hAnsi="Arial" w:cs="Arial"/>
          <w:shd w:val="clear" w:color="auto" w:fill="FFFFFF"/>
        </w:rPr>
      </w:pPr>
      <w:r w:rsidRPr="00FE14E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BD5DF6" wp14:editId="24CA762B">
            <wp:simplePos x="0" y="0"/>
            <wp:positionH relativeFrom="column">
              <wp:posOffset>3729990</wp:posOffset>
            </wp:positionH>
            <wp:positionV relativeFrom="paragraph">
              <wp:posOffset>287655</wp:posOffset>
            </wp:positionV>
            <wp:extent cx="2209800" cy="5133975"/>
            <wp:effectExtent l="228600" t="228600" r="228600" b="238125"/>
            <wp:wrapThrough wrapText="bothSides">
              <wp:wrapPolygon edited="0">
                <wp:start x="-2234" y="-962"/>
                <wp:lineTo x="-2234" y="22522"/>
                <wp:lineTo x="23648" y="22522"/>
                <wp:lineTo x="23648" y="-962"/>
                <wp:lineTo x="-2234" y="-962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4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339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4ED" w:rsidRPr="00FE14ED">
        <w:rPr>
          <w:rFonts w:ascii="Arial" w:hAnsi="Arial" w:cs="Arial"/>
          <w:shd w:val="clear" w:color="auto" w:fill="FFFFFF"/>
        </w:rPr>
        <w:t xml:space="preserve"> </w:t>
      </w:r>
    </w:p>
    <w:p w:rsidR="00FE14ED" w:rsidRPr="00FE14ED" w:rsidRDefault="00E34259" w:rsidP="00FE14ED">
      <w:pPr>
        <w:rPr>
          <w:rFonts w:ascii="Arial" w:hAnsi="Arial" w:cs="Arial"/>
        </w:rPr>
      </w:pPr>
      <w:r w:rsidRPr="00FE14ED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530AB40" wp14:editId="6726B853">
            <wp:simplePos x="0" y="0"/>
            <wp:positionH relativeFrom="column">
              <wp:posOffset>3146425</wp:posOffset>
            </wp:positionH>
            <wp:positionV relativeFrom="paragraph">
              <wp:posOffset>5582285</wp:posOffset>
            </wp:positionV>
            <wp:extent cx="3100070" cy="2085975"/>
            <wp:effectExtent l="228600" t="228600" r="233680" b="238125"/>
            <wp:wrapThrough wrapText="bothSides">
              <wp:wrapPolygon edited="0">
                <wp:start x="-1593" y="-2367"/>
                <wp:lineTo x="-1593" y="23868"/>
                <wp:lineTo x="23095" y="23868"/>
                <wp:lineTo x="23095" y="-2367"/>
                <wp:lineTo x="-1593" y="-2367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859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4E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1653EFB" wp14:editId="042E098A">
            <wp:simplePos x="0" y="0"/>
            <wp:positionH relativeFrom="column">
              <wp:posOffset>-280035</wp:posOffset>
            </wp:positionH>
            <wp:positionV relativeFrom="paragraph">
              <wp:posOffset>4199890</wp:posOffset>
            </wp:positionV>
            <wp:extent cx="2914650" cy="2416810"/>
            <wp:effectExtent l="228600" t="228600" r="228600" b="231140"/>
            <wp:wrapThrough wrapText="bothSides">
              <wp:wrapPolygon edited="0">
                <wp:start x="-1694" y="-2043"/>
                <wp:lineTo x="-1694" y="23496"/>
                <wp:lineTo x="23153" y="23496"/>
                <wp:lineTo x="23153" y="-2043"/>
                <wp:lineTo x="-1694" y="-2043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168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4E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3E82CBB" wp14:editId="7D08C54A">
            <wp:simplePos x="0" y="0"/>
            <wp:positionH relativeFrom="column">
              <wp:posOffset>-175260</wp:posOffset>
            </wp:positionH>
            <wp:positionV relativeFrom="paragraph">
              <wp:posOffset>1371600</wp:posOffset>
            </wp:positionV>
            <wp:extent cx="3277870" cy="2303780"/>
            <wp:effectExtent l="228600" t="228600" r="227330" b="229870"/>
            <wp:wrapThrough wrapText="bothSides">
              <wp:wrapPolygon edited="0">
                <wp:start x="-1506" y="-2143"/>
                <wp:lineTo x="-1506" y="23577"/>
                <wp:lineTo x="22972" y="23577"/>
                <wp:lineTo x="22972" y="-2143"/>
                <wp:lineTo x="-1506" y="-2143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3037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4E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485B366" wp14:editId="2840324A">
            <wp:simplePos x="0" y="0"/>
            <wp:positionH relativeFrom="column">
              <wp:posOffset>186690</wp:posOffset>
            </wp:positionH>
            <wp:positionV relativeFrom="paragraph">
              <wp:posOffset>95250</wp:posOffset>
            </wp:positionV>
            <wp:extent cx="2493570" cy="684000"/>
            <wp:effectExtent l="228600" t="228600" r="231140" b="230505"/>
            <wp:wrapThrough wrapText="bothSides">
              <wp:wrapPolygon edited="0">
                <wp:start x="-1981" y="-7220"/>
                <wp:lineTo x="-1981" y="28279"/>
                <wp:lineTo x="23438" y="28279"/>
                <wp:lineTo x="23438" y="-7220"/>
                <wp:lineTo x="-1981" y="-722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70" cy="684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4ED" w:rsidRPr="00FE14ED">
        <w:rPr>
          <w:rFonts w:ascii="Arial" w:hAnsi="Arial" w:cs="Arial"/>
          <w:noProof/>
        </w:rPr>
        <w:drawing>
          <wp:inline distT="0" distB="0" distL="0" distR="0">
            <wp:extent cx="19050" cy="638175"/>
            <wp:effectExtent l="0" t="0" r="1905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4ED" w:rsidRPr="00FE14ED">
        <w:rPr>
          <w:rFonts w:ascii="Arial" w:hAnsi="Arial" w:cs="Arial"/>
        </w:rPr>
        <w:br w:type="page"/>
      </w:r>
    </w:p>
    <w:p w:rsidR="00FE14ED" w:rsidRPr="00E34259" w:rsidRDefault="00E34259" w:rsidP="00FE14ED">
      <w:pPr>
        <w:rPr>
          <w:rFonts w:ascii="Arial" w:hAnsi="Arial" w:cs="Arial"/>
          <w:sz w:val="28"/>
        </w:rPr>
      </w:pPr>
      <w:r>
        <w:rPr>
          <w:rFonts w:ascii="Arial" w:hAnsi="Arial" w:cs="Arial"/>
          <w:color w:val="FF3399"/>
          <w:sz w:val="28"/>
        </w:rPr>
        <w:lastRenderedPageBreak/>
        <w:t>2R/</w:t>
      </w:r>
      <w:r w:rsidR="00FE14ED" w:rsidRPr="00E34259">
        <w:rPr>
          <w:rFonts w:ascii="Arial" w:hAnsi="Arial" w:cs="Arial"/>
          <w:sz w:val="28"/>
        </w:rPr>
        <w:t xml:space="preserve"> Para nosotros el derecho constitucional se puede definir como la estructura del ordenamiento jurídico que cobija lo </w:t>
      </w:r>
      <w:r w:rsidRPr="00E34259">
        <w:rPr>
          <w:rFonts w:ascii="Arial" w:hAnsi="Arial" w:cs="Arial"/>
          <w:sz w:val="28"/>
        </w:rPr>
        <w:t>más</w:t>
      </w:r>
      <w:r w:rsidR="00FE14ED" w:rsidRPr="00E34259">
        <w:rPr>
          <w:rFonts w:ascii="Arial" w:hAnsi="Arial" w:cs="Arial"/>
          <w:sz w:val="28"/>
        </w:rPr>
        <w:t xml:space="preserve"> amplio de la consagraciones de derechos y no derechos, como de libertades de los individuos y la </w:t>
      </w:r>
      <w:r w:rsidR="00B000F3" w:rsidRPr="00E34259">
        <w:rPr>
          <w:rFonts w:ascii="Arial" w:hAnsi="Arial" w:cs="Arial"/>
          <w:sz w:val="28"/>
        </w:rPr>
        <w:t>organización</w:t>
      </w:r>
      <w:r w:rsidR="00FE14ED" w:rsidRPr="00E34259">
        <w:rPr>
          <w:rFonts w:ascii="Arial" w:hAnsi="Arial" w:cs="Arial"/>
          <w:sz w:val="28"/>
        </w:rPr>
        <w:t xml:space="preserve"> del poder de los gobernantes </w:t>
      </w:r>
      <w:proofErr w:type="gramStart"/>
      <w:r w:rsidR="00FE14ED" w:rsidRPr="00E34259">
        <w:rPr>
          <w:rFonts w:ascii="Arial" w:hAnsi="Arial" w:cs="Arial"/>
          <w:sz w:val="28"/>
        </w:rPr>
        <w:t>( que</w:t>
      </w:r>
      <w:proofErr w:type="gramEnd"/>
      <w:r w:rsidR="00FE14ED" w:rsidRPr="00E34259">
        <w:rPr>
          <w:rFonts w:ascii="Arial" w:hAnsi="Arial" w:cs="Arial"/>
          <w:sz w:val="28"/>
        </w:rPr>
        <w:t xml:space="preserve"> en muchos casos llega al estatismo). En ella se integra claro </w:t>
      </w:r>
      <w:r w:rsidRPr="00E34259">
        <w:rPr>
          <w:rFonts w:ascii="Arial" w:hAnsi="Arial" w:cs="Arial"/>
          <w:sz w:val="28"/>
        </w:rPr>
        <w:t>está</w:t>
      </w:r>
      <w:r w:rsidR="00FE14ED" w:rsidRPr="00E34259">
        <w:rPr>
          <w:rFonts w:ascii="Arial" w:hAnsi="Arial" w:cs="Arial"/>
          <w:sz w:val="28"/>
        </w:rPr>
        <w:t xml:space="preserve"> el concepto de Bloqueos de Constitucionalidad. </w:t>
      </w:r>
    </w:p>
    <w:p w:rsidR="00FE14ED" w:rsidRPr="00E34259" w:rsidRDefault="00FE14ED" w:rsidP="00FE14ED">
      <w:p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 </w:t>
      </w:r>
    </w:p>
    <w:p w:rsidR="00FE14ED" w:rsidRPr="00E34259" w:rsidRDefault="00FE14ED" w:rsidP="00B000F3">
      <w:pPr>
        <w:pStyle w:val="Prrafodelista1"/>
        <w:numPr>
          <w:ilvl w:val="0"/>
          <w:numId w:val="7"/>
        </w:num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Una rigidez constitucional </w:t>
      </w:r>
    </w:p>
    <w:p w:rsidR="00FE14ED" w:rsidRPr="00E34259" w:rsidRDefault="00FE14ED" w:rsidP="00B000F3">
      <w:pPr>
        <w:pStyle w:val="Prrafodelista1"/>
        <w:numPr>
          <w:ilvl w:val="0"/>
          <w:numId w:val="7"/>
        </w:num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Condiciones de validez </w:t>
      </w:r>
    </w:p>
    <w:p w:rsidR="00FE14ED" w:rsidRPr="00E34259" w:rsidRDefault="00FE14ED" w:rsidP="00FE14ED">
      <w:p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 </w:t>
      </w:r>
    </w:p>
    <w:p w:rsidR="00FE14ED" w:rsidRDefault="00FE14ED" w:rsidP="00FE14ED">
      <w:pPr>
        <w:pStyle w:val="Prrafodelista1"/>
        <w:numPr>
          <w:ilvl w:val="0"/>
          <w:numId w:val="6"/>
        </w:num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Tener una relación de jurisdicción constitucional completa </w:t>
      </w:r>
    </w:p>
    <w:p w:rsidR="00E34259" w:rsidRDefault="00E34259" w:rsidP="00E34259">
      <w:pPr>
        <w:pStyle w:val="Prrafodelista1"/>
        <w:rPr>
          <w:rFonts w:ascii="Arial" w:hAnsi="Arial" w:cs="Arial"/>
          <w:sz w:val="28"/>
        </w:rPr>
      </w:pPr>
    </w:p>
    <w:p w:rsidR="00E34259" w:rsidRDefault="00E34259" w:rsidP="00E34259">
      <w:pPr>
        <w:pStyle w:val="Prrafodelista1"/>
        <w:rPr>
          <w:rFonts w:ascii="Arial" w:hAnsi="Arial" w:cs="Arial"/>
          <w:sz w:val="28"/>
        </w:rPr>
      </w:pPr>
    </w:p>
    <w:p w:rsidR="00E34259" w:rsidRPr="00E34259" w:rsidRDefault="00E34259" w:rsidP="00E34259">
      <w:pPr>
        <w:pStyle w:val="Prrafodelista1"/>
        <w:rPr>
          <w:rFonts w:ascii="Arial" w:hAnsi="Arial" w:cs="Arial"/>
          <w:sz w:val="28"/>
        </w:rPr>
      </w:pPr>
    </w:p>
    <w:p w:rsidR="00FE14ED" w:rsidRPr="00E34259" w:rsidRDefault="00FE14ED" w:rsidP="00FE14ED">
      <w:pPr>
        <w:pStyle w:val="Prrafodelista1"/>
        <w:numPr>
          <w:ilvl w:val="0"/>
          <w:numId w:val="6"/>
        </w:num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>Terne un papel activo del juez (en la ciencia jurídica)</w:t>
      </w:r>
    </w:p>
    <w:p w:rsidR="00FE14ED" w:rsidRDefault="00FE14ED" w:rsidP="00FE14ED">
      <w:p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 </w:t>
      </w:r>
    </w:p>
    <w:p w:rsidR="00E34259" w:rsidRPr="00E34259" w:rsidRDefault="00E34259" w:rsidP="00FE14ED">
      <w:pPr>
        <w:rPr>
          <w:rFonts w:ascii="Arial" w:hAnsi="Arial" w:cs="Arial"/>
          <w:sz w:val="28"/>
        </w:rPr>
      </w:pPr>
    </w:p>
    <w:p w:rsidR="00FE14ED" w:rsidRPr="00E34259" w:rsidRDefault="00FE14ED" w:rsidP="00FE14ED">
      <w:pPr>
        <w:pStyle w:val="Prrafodelista1"/>
        <w:numPr>
          <w:ilvl w:val="0"/>
          <w:numId w:val="6"/>
        </w:numPr>
        <w:rPr>
          <w:rFonts w:ascii="Arial" w:hAnsi="Arial" w:cs="Arial"/>
          <w:sz w:val="28"/>
        </w:rPr>
      </w:pPr>
      <w:r w:rsidRPr="00E34259">
        <w:rPr>
          <w:rFonts w:ascii="Arial" w:hAnsi="Arial" w:cs="Arial"/>
          <w:sz w:val="28"/>
        </w:rPr>
        <w:t xml:space="preserve">Proponer hacia un republicanismo constitucional </w:t>
      </w:r>
    </w:p>
    <w:p w:rsidR="00A33536" w:rsidRPr="00E34259" w:rsidRDefault="00A33536">
      <w:pPr>
        <w:rPr>
          <w:sz w:val="28"/>
        </w:rPr>
      </w:pPr>
      <w:bookmarkStart w:id="0" w:name="_GoBack"/>
      <w:bookmarkEnd w:id="0"/>
    </w:p>
    <w:sectPr w:rsidR="00A33536" w:rsidRPr="00E34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6pt;height:10.6pt" o:bullet="t">
        <v:imagedata r:id="rId1" o:title="wps1"/>
      </v:shape>
    </w:pict>
  </w:numPicBullet>
  <w:abstractNum w:abstractNumId="0">
    <w:nsid w:val="0A5103A0"/>
    <w:multiLevelType w:val="multilevel"/>
    <w:tmpl w:val="652A5DFE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5F1EBD"/>
    <w:multiLevelType w:val="multilevel"/>
    <w:tmpl w:val="0492CBF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6126D"/>
    <w:multiLevelType w:val="multilevel"/>
    <w:tmpl w:val="374E1BAC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AB730C3"/>
    <w:multiLevelType w:val="hybridMultilevel"/>
    <w:tmpl w:val="CE9A6C46"/>
    <w:lvl w:ilvl="0" w:tplc="E53E3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1747AD"/>
    <w:multiLevelType w:val="hybridMultilevel"/>
    <w:tmpl w:val="30021688"/>
    <w:lvl w:ilvl="0" w:tplc="E5CEB00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78B756DB"/>
    <w:multiLevelType w:val="multilevel"/>
    <w:tmpl w:val="C80C1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FF000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>
    <w:nsid w:val="7FB6446D"/>
    <w:multiLevelType w:val="hybridMultilevel"/>
    <w:tmpl w:val="5FC8F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23"/>
    <w:rsid w:val="00090E40"/>
    <w:rsid w:val="002A1923"/>
    <w:rsid w:val="00A33536"/>
    <w:rsid w:val="00B000F3"/>
    <w:rsid w:val="00E03C74"/>
    <w:rsid w:val="00E34259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A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23"/>
    <w:pPr>
      <w:spacing w:before="100" w:beforeAutospacing="1" w:after="100" w:afterAutospacing="1" w:line="256" w:lineRule="auto"/>
    </w:pPr>
    <w:rPr>
      <w:rFonts w:ascii="Corbel" w:eastAsia="Times New Roman" w:hAnsi="Corbe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A1923"/>
    <w:pPr>
      <w:contextualSpacing/>
    </w:pPr>
  </w:style>
  <w:style w:type="paragraph" w:styleId="Prrafodelista">
    <w:name w:val="List Paragraph"/>
    <w:basedOn w:val="Normal"/>
    <w:uiPriority w:val="34"/>
    <w:qFormat/>
    <w:rsid w:val="002A19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2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5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23"/>
    <w:pPr>
      <w:spacing w:before="100" w:beforeAutospacing="1" w:after="100" w:afterAutospacing="1" w:line="256" w:lineRule="auto"/>
    </w:pPr>
    <w:rPr>
      <w:rFonts w:ascii="Corbel" w:eastAsia="Times New Roman" w:hAnsi="Corbe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A1923"/>
    <w:pPr>
      <w:contextualSpacing/>
    </w:pPr>
  </w:style>
  <w:style w:type="paragraph" w:styleId="Prrafodelista">
    <w:name w:val="List Paragraph"/>
    <w:basedOn w:val="Normal"/>
    <w:uiPriority w:val="34"/>
    <w:qFormat/>
    <w:rsid w:val="002A19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2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5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Dispositivo 1720DP001154</dc:creator>
  <cp:lastModifiedBy>Dj Waith</cp:lastModifiedBy>
  <cp:revision>2</cp:revision>
  <dcterms:created xsi:type="dcterms:W3CDTF">2020-06-06T15:52:00Z</dcterms:created>
  <dcterms:modified xsi:type="dcterms:W3CDTF">2020-06-06T15:52:00Z</dcterms:modified>
</cp:coreProperties>
</file>