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A5" w:rsidRPr="00FB2879" w:rsidRDefault="002864A5" w:rsidP="002864A5">
      <w:pPr>
        <w:spacing w:after="0" w:line="240" w:lineRule="auto"/>
        <w:jc w:val="center"/>
        <w:rPr>
          <w:rFonts w:ascii="Verdana" w:hAnsi="Verdana" w:cs="Arial"/>
          <w:b/>
          <w:i/>
          <w:outline/>
          <w:color w:val="ED7D31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FB2879">
        <w:rPr>
          <w:rFonts w:ascii="Verdana" w:hAnsi="Verdana" w:cs="Arial"/>
          <w:b/>
          <w:i/>
          <w:outline/>
          <w:color w:val="ED7D31" w:themeColor="accent2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INSTITUCIÓN EDUCATIVA TÉCNICA LA SAGRADA FAMILIA</w:t>
      </w:r>
      <w:r w:rsidRPr="00FB2879">
        <w:rPr>
          <w:rFonts w:ascii="Verdana" w:hAnsi="Verdana" w:cs="Arial"/>
          <w:b/>
          <w:i/>
          <w:outline/>
          <w:color w:val="ED7D31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</w:p>
    <w:p w:rsidR="002864A5" w:rsidRDefault="002864A5" w:rsidP="002864A5">
      <w:pPr>
        <w:spacing w:after="0" w:line="240" w:lineRule="auto"/>
        <w:jc w:val="both"/>
        <w:rPr>
          <w:rFonts w:ascii="Verdana" w:hAnsi="Verdana"/>
          <w:color w:val="C00000"/>
          <w:sz w:val="24"/>
          <w:szCs w:val="24"/>
        </w:rPr>
      </w:pPr>
      <w:bookmarkStart w:id="0" w:name="_GoBack"/>
      <w:bookmarkEnd w:id="0"/>
    </w:p>
    <w:p w:rsidR="002864A5" w:rsidRPr="00E27FEB" w:rsidRDefault="002864A5" w:rsidP="002864A5">
      <w:pPr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  <w:r w:rsidRPr="00E27FEB">
        <w:rPr>
          <w:rFonts w:ascii="Verdana" w:hAnsi="Verdana"/>
          <w:color w:val="C00000"/>
          <w:sz w:val="24"/>
          <w:szCs w:val="24"/>
        </w:rPr>
        <w:t>Docentes:</w:t>
      </w:r>
      <w:r w:rsidRPr="00E27FEB">
        <w:rPr>
          <w:rFonts w:ascii="Verdana" w:hAnsi="Verdana"/>
          <w:sz w:val="24"/>
          <w:szCs w:val="24"/>
        </w:rPr>
        <w:t xml:space="preserve"> </w:t>
      </w:r>
      <w:r w:rsidRPr="00E27FEB">
        <w:rPr>
          <w:rFonts w:ascii="Verdana" w:hAnsi="Verdana" w:cs="Arial"/>
          <w:i/>
          <w:sz w:val="24"/>
          <w:szCs w:val="24"/>
        </w:rPr>
        <w:t>Sonia Esperanza Gamboa S.</w:t>
      </w:r>
    </w:p>
    <w:p w:rsidR="002864A5" w:rsidRPr="00E27FEB" w:rsidRDefault="002864A5" w:rsidP="002864A5">
      <w:pPr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  <w:r w:rsidRPr="00E27FEB">
        <w:rPr>
          <w:rFonts w:ascii="Verdana" w:hAnsi="Verdana"/>
          <w:color w:val="C00000"/>
          <w:sz w:val="24"/>
          <w:szCs w:val="24"/>
        </w:rPr>
        <w:t xml:space="preserve">Grado: </w:t>
      </w:r>
      <w:r w:rsidRPr="00E27FEB">
        <w:rPr>
          <w:rFonts w:ascii="Verdana" w:hAnsi="Verdana"/>
          <w:sz w:val="24"/>
          <w:szCs w:val="24"/>
        </w:rPr>
        <w:t xml:space="preserve">7                                                                           </w:t>
      </w:r>
      <w:r w:rsidRPr="00E27FEB">
        <w:rPr>
          <w:rFonts w:ascii="Verdana" w:hAnsi="Verdana" w:cs="Arial"/>
          <w:i/>
          <w:sz w:val="24"/>
          <w:szCs w:val="24"/>
        </w:rPr>
        <w:t xml:space="preserve"> </w:t>
      </w:r>
    </w:p>
    <w:p w:rsidR="002864A5" w:rsidRDefault="002864A5" w:rsidP="002864A5">
      <w:pPr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  <w:r w:rsidRPr="00E27FEB">
        <w:rPr>
          <w:rFonts w:ascii="Verdana" w:hAnsi="Verdana"/>
          <w:color w:val="C00000"/>
          <w:sz w:val="24"/>
          <w:szCs w:val="24"/>
        </w:rPr>
        <w:t xml:space="preserve">Área: </w:t>
      </w:r>
      <w:r w:rsidRPr="00E27FEB">
        <w:rPr>
          <w:rFonts w:ascii="Verdana" w:hAnsi="Verdana" w:cs="Arial"/>
          <w:i/>
          <w:sz w:val="24"/>
          <w:szCs w:val="24"/>
        </w:rPr>
        <w:t xml:space="preserve">Matemáticas       </w:t>
      </w:r>
      <w:r w:rsidRPr="00E27FEB">
        <w:rPr>
          <w:rFonts w:ascii="Verdana" w:hAnsi="Verdana"/>
          <w:color w:val="C00000"/>
          <w:sz w:val="24"/>
          <w:szCs w:val="24"/>
        </w:rPr>
        <w:t xml:space="preserve">                                               </w:t>
      </w:r>
      <w:r w:rsidRPr="00E27FEB">
        <w:rPr>
          <w:rFonts w:ascii="Verdana" w:hAnsi="Verdana" w:cs="Arial"/>
          <w:i/>
          <w:sz w:val="24"/>
          <w:szCs w:val="24"/>
        </w:rPr>
        <w:t xml:space="preserve">       </w:t>
      </w:r>
      <w:r w:rsidRPr="00E27FEB">
        <w:rPr>
          <w:rFonts w:ascii="Verdana" w:hAnsi="Verdana"/>
          <w:color w:val="C00000"/>
          <w:sz w:val="24"/>
          <w:szCs w:val="24"/>
        </w:rPr>
        <w:t>Año:</w:t>
      </w:r>
      <w:r w:rsidRPr="00E27FEB">
        <w:rPr>
          <w:rFonts w:ascii="Verdana" w:hAnsi="Verdana" w:cs="Arial"/>
          <w:i/>
          <w:sz w:val="24"/>
          <w:szCs w:val="24"/>
        </w:rPr>
        <w:t xml:space="preserve"> 20</w:t>
      </w:r>
      <w:r w:rsidR="00181CA9">
        <w:rPr>
          <w:rFonts w:ascii="Verdana" w:hAnsi="Verdana" w:cs="Arial"/>
          <w:i/>
          <w:sz w:val="24"/>
          <w:szCs w:val="24"/>
        </w:rPr>
        <w:t>2</w:t>
      </w:r>
      <w:r w:rsidR="007447DB">
        <w:rPr>
          <w:rFonts w:ascii="Verdana" w:hAnsi="Verdana" w:cs="Arial"/>
          <w:i/>
          <w:sz w:val="24"/>
          <w:szCs w:val="24"/>
        </w:rPr>
        <w:t>3</w:t>
      </w:r>
    </w:p>
    <w:p w:rsidR="00E7748B" w:rsidRPr="00E7748B" w:rsidRDefault="00E7748B" w:rsidP="00E7748B">
      <w:pPr>
        <w:spacing w:after="0" w:line="240" w:lineRule="auto"/>
        <w:jc w:val="center"/>
        <w:rPr>
          <w:rFonts w:ascii="Verdana" w:hAnsi="Verdana" w:cs="Arial"/>
          <w:b/>
          <w:i/>
          <w:color w:val="FF0000"/>
          <w:sz w:val="28"/>
          <w:szCs w:val="28"/>
        </w:rPr>
      </w:pPr>
      <w:r w:rsidRPr="00E7748B">
        <w:rPr>
          <w:rFonts w:ascii="Verdana" w:hAnsi="Verdana" w:cs="Arial"/>
          <w:b/>
          <w:i/>
          <w:color w:val="FF0000"/>
          <w:sz w:val="28"/>
          <w:szCs w:val="28"/>
        </w:rPr>
        <w:t>EXPLICACIÓN</w:t>
      </w:r>
    </w:p>
    <w:p w:rsidR="002864A5" w:rsidRDefault="002864A5" w:rsidP="002864A5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3C5E" wp14:editId="1148E115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1828800" cy="182880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64A5" w:rsidRPr="002864A5" w:rsidRDefault="002864A5" w:rsidP="002864A5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4A5">
                              <w:rPr>
                                <w:rFonts w:ascii="Verdana" w:hAnsi="Verdana" w:cs="Arial"/>
                                <w:b/>
                                <w:i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Fraccionarios, decimales y porcentajes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03C5E"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left:0;text-align:left;margin-left:0;margin-top:18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+hKg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Zpxp&#10;0QCjyYytjyK3xHLFvOo8hTG1xqWI3hnE++4rdQgc7A7G0H1X2CZ80ReDHwM/X4eMPEyGS/PpfD6G&#10;S8I3KMifvF431vlvihoWhIxboBiHK05b5/vQISS8pmlT1XVEsta/GZCzt6hIhcvt0ElfcZB8t+8u&#10;7e0pP6M7Sz1NnJGbChVshfNPwoIXqBpc9484iprajNNF4qwk+/Nv9hAPuODlrAXPMq6xCJzV3zVg&#10;/DKZzQItozL7+HkKxd569rcefWzWBCJPsFNGRjHE+3oQC0vNCxZiFd6ES2iJlzPuB3Hte+5joaRa&#10;rWIQiGiE3+qdkSF1GGCY7nP3Iqy5QBBY8EADH0X6Bok+Ntx0ZnX0wCPCFMbbzxTwBgUkjkBfFi5s&#10;ya0eo15/C8tfAAAA//8DAFBLAwQUAAYACAAAACEAYUOItNsAAAAHAQAADwAAAGRycy9kb3ducmV2&#10;LnhtbEyPwU7DMBBE70j9B2srcaNOQluFEKeqWjgDhQ9w4yUOiddR7LaBr2c5lePMrGbelpvJ9eKM&#10;Y2g9KUgXCQik2puWGgUf7893OYgQNRnde0IF3xhgU81uSl0Yf6E3PB9iI7iEQqEV2BiHQspQW3Q6&#10;LPyAxNmnH52OLMdGmlFfuNz1MkuStXS6JV6wesCdxbo7nJyCPHEvXfeQvQa3/ElXdrf3T8OXUrfz&#10;afsIIuIUr8fwh8/oUDHT0Z/IBNEr4Eeigvt1CoLTLM/ZOLKRLVOQVSn/81e/AAAA//8DAFBLAQIt&#10;ABQABgAIAAAAIQC2gziS/gAAAOEBAAATAAAAAAAAAAAAAAAAAAAAAABbQ29udGVudF9UeXBlc10u&#10;eG1sUEsBAi0AFAAGAAgAAAAhADj9If/WAAAAlAEAAAsAAAAAAAAAAAAAAAAALwEAAF9yZWxzLy5y&#10;ZWxzUEsBAi0AFAAGAAgAAAAhADOdn6EqAgAAXgQAAA4AAAAAAAAAAAAAAAAALgIAAGRycy9lMm9E&#10;b2MueG1sUEsBAi0AFAAGAAgAAAAhAGFDiLTbAAAABwEAAA8AAAAAAAAAAAAAAAAAhAQAAGRycy9k&#10;b3ducmV2LnhtbFBLBQYAAAAABAAEAPMAAACMBQAAAAA=&#10;" filled="f" stroked="f">
                <v:textbox style="mso-fit-shape-to-text:t">
                  <w:txbxContent>
                    <w:p w:rsidR="002864A5" w:rsidRPr="002864A5" w:rsidRDefault="002864A5" w:rsidP="002864A5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i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4A5">
                        <w:rPr>
                          <w:rFonts w:ascii="Verdana" w:hAnsi="Verdana" w:cs="Arial"/>
                          <w:b/>
                          <w:i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Fraccionarios, decimales y porcentajes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3EF8AB7" wp14:editId="07A96F24">
                <wp:extent cx="4104456" cy="541020"/>
                <wp:effectExtent l="0" t="0" r="0" b="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4456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64A5" w:rsidRDefault="002864A5" w:rsidP="002864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EF8AB7" id="Cuadro de texto 4" o:spid="_x0000_s1027" type="#_x0000_t202" style="width:323.2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1RIvwEAAGsDAAAOAAAAZHJzL2Uyb0RvYy54bWysU9uO0zAQfUfiHyy/0yRVukDUdLUX7Qpp&#10;BUgLH+D60kTEHmvsNilfz9jpdgu8IV6cTOb4zDkzk/X1ZAd20Bh6cC2vFiVn2klQvdu1/Pu3h3cf&#10;OAtROCUGcLrlRx349ebtm/XoG72EDgalkRGJC83oW97F6JuiCLLTVoQFeO0oaQCtiBTirlAoRmK3&#10;Q7Esy6tiBFQeQeoQ6Ov9nOSbzG+MlvGLMUFHNrSctMV8Yj636Sw2a9HsUPiulycZ4h9UWNE7Knqm&#10;uhdRsD32f1HZXiIEMHEhwRZgTC919kBuqvIPN8+d8Dp7oeYEf25T+H+08vPhK7JetbzmzAlLI7rb&#10;C4XAlGZRTxFYnZo0+tAQ9tkTOk63MNGws+Hgn0D+CAQpLjDzhUDo1JTJoE1PssvoIs3heO49lWCS&#10;PtZVWderK84k5VYULfNwitfbHkN81GBZemk50myzAnF4CjHVF80L5CRmrp9kxWk7ZZfVi5ktqCN5&#10;odUlrg7wJ2fDJ0ed/VjVddqUHNSr96SD4WVm+1smDncw75ZwknhaLiNmXY6W9mYfwfRZXZIxFz2p&#10;o4lm0aftSytzGWfU6z+y+QUAAP//AwBQSwMEFAAGAAgAAAAhAPwWvrbbAAAABAEAAA8AAABkcnMv&#10;ZG93bnJldi54bWxMj0FLw0AQhe+C/2EZwYvYjaXGEjMpIhSk6MHqD5hkp9nQ7GzIbtP471296GXg&#10;8R7vfVNuZtericfQeUG4W2SgWBpvOmkRPj+2t2tQIZIY6r0wwhcH2FSXFyUVxp/lnad9bFUqkVAQ&#10;go1xKLQOjWVHYeEHluQd/OgoJjm22ox0TuWu18ssy7WjTtKCpYGfLTfH/ckh3Nghe3s9vNRbkzf2&#10;uAv04KYd4vXV/PQIKvIc/8Lwg5/QoUpMtT+JCapHSI/E35u8fJWvQNUI6/sl6KrU/+GrbwAAAP//&#10;AwBQSwECLQAUAAYACAAAACEAtoM4kv4AAADhAQAAEwAAAAAAAAAAAAAAAAAAAAAAW0NvbnRlbnRf&#10;VHlwZXNdLnhtbFBLAQItABQABgAIAAAAIQA4/SH/1gAAAJQBAAALAAAAAAAAAAAAAAAAAC8BAABf&#10;cmVscy8ucmVsc1BLAQItABQABgAIAAAAIQA5+1RIvwEAAGsDAAAOAAAAAAAAAAAAAAAAAC4CAABk&#10;cnMvZTJvRG9jLnhtbFBLAQItABQABgAIAAAAIQD8Fr622wAAAAQBAAAPAAAAAAAAAAAAAAAAABkE&#10;AABkcnMvZG93bnJldi54bWxQSwUGAAAAAAQABADzAAAAIQUAAAAA&#10;" filled="f" stroked="f">
                <v:textbox>
                  <w:txbxContent>
                    <w:p w:rsidR="002864A5" w:rsidRDefault="002864A5" w:rsidP="002864A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5499" w:rsidRDefault="00985499" w:rsidP="002864A5">
      <w:pPr>
        <w:spacing w:after="0" w:line="240" w:lineRule="auto"/>
        <w:jc w:val="both"/>
      </w:pPr>
    </w:p>
    <w:p w:rsidR="00C946A2" w:rsidRPr="00BF2CC7" w:rsidRDefault="00BF2CC7" w:rsidP="002864A5">
      <w:pPr>
        <w:spacing w:after="0" w:line="240" w:lineRule="auto"/>
        <w:jc w:val="both"/>
        <w:rPr>
          <w:sz w:val="16"/>
          <w:szCs w:val="16"/>
        </w:rPr>
      </w:pPr>
      <w:r w:rsidRPr="00BF2CC7">
        <w:rPr>
          <w:rStyle w:val="Hipervnculo"/>
          <w:sz w:val="16"/>
          <w:szCs w:val="16"/>
        </w:rPr>
        <w:t xml:space="preserve">Fuente: </w:t>
      </w:r>
      <w:hyperlink r:id="rId5" w:history="1">
        <w:r w:rsidRPr="00BF2CC7">
          <w:rPr>
            <w:rStyle w:val="Hipervnculo"/>
            <w:sz w:val="16"/>
            <w:szCs w:val="16"/>
          </w:rPr>
          <w:t>https://es.khanacademy.org/math/cc-sixth-grade-math/cc-6th-ratios-prop-topic/cc-6th-percent-decimal-conversions/a/converting-between-percents-fractions-decimals</w:t>
        </w:r>
      </w:hyperlink>
    </w:p>
    <w:p w:rsidR="003234F0" w:rsidRDefault="003234F0" w:rsidP="002864A5">
      <w:pPr>
        <w:spacing w:after="0" w:line="240" w:lineRule="auto"/>
        <w:jc w:val="both"/>
      </w:pPr>
    </w:p>
    <w:p w:rsidR="00C46719" w:rsidRDefault="00C46719" w:rsidP="002864A5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791200" cy="3200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5F" w:rsidRDefault="00DE4A5F" w:rsidP="002864A5">
      <w:pPr>
        <w:spacing w:after="0" w:line="240" w:lineRule="auto"/>
        <w:jc w:val="both"/>
      </w:pPr>
    </w:p>
    <w:p w:rsidR="00DE4A5F" w:rsidRPr="0034690E" w:rsidRDefault="00DE4A5F" w:rsidP="00DE4A5F">
      <w:pPr>
        <w:shd w:val="clear" w:color="auto" w:fill="BF8F00" w:themeFill="accent4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34690E">
        <w:rPr>
          <w:rFonts w:ascii="Arial" w:hAnsi="Arial" w:cs="Arial"/>
          <w:b/>
          <w:color w:val="FFFFFF" w:themeColor="background1"/>
          <w:sz w:val="28"/>
          <w:szCs w:val="28"/>
        </w:rPr>
        <w:t>CONCEPTOS BÁSICOS</w:t>
      </w:r>
    </w:p>
    <w:p w:rsidR="00DE4A5F" w:rsidRDefault="00DE4A5F" w:rsidP="00DE4A5F">
      <w:pPr>
        <w:spacing w:after="0" w:line="360" w:lineRule="auto"/>
        <w:rPr>
          <w:rFonts w:ascii="Arial" w:hAnsi="Arial" w:cs="Arial"/>
          <w:b/>
        </w:rPr>
      </w:pPr>
    </w:p>
    <w:p w:rsidR="00DE4A5F" w:rsidRPr="00E27FEB" w:rsidRDefault="00DE4A5F" w:rsidP="00DE4A5F">
      <w:pPr>
        <w:spacing w:after="0" w:line="360" w:lineRule="auto"/>
        <w:jc w:val="both"/>
        <w:rPr>
          <w:rFonts w:cstheme="minorHAnsi"/>
        </w:rPr>
      </w:pPr>
      <w:r w:rsidRPr="00E27FEB">
        <w:rPr>
          <w:rFonts w:cstheme="minorHAnsi"/>
        </w:rPr>
        <w:t xml:space="preserve">Cuando se habla de porcentaje se está hablando de una fracción cuyo denominador es el 100, es decir, el porcentaje </w:t>
      </w:r>
      <w:proofErr w:type="gramStart"/>
      <w:r w:rsidRPr="00E27FEB">
        <w:rPr>
          <w:rFonts w:cstheme="minorHAnsi"/>
        </w:rPr>
        <w:t>es  una</w:t>
      </w:r>
      <w:proofErr w:type="gramEnd"/>
      <w:r w:rsidRPr="00E27FEB">
        <w:rPr>
          <w:rFonts w:cstheme="minorHAnsi"/>
        </w:rPr>
        <w:t xml:space="preserve"> fracción decimal. Por </w:t>
      </w:r>
      <w:proofErr w:type="gramStart"/>
      <w:r w:rsidRPr="00E27FEB">
        <w:rPr>
          <w:rFonts w:cstheme="minorHAnsi"/>
        </w:rPr>
        <w:t>tanto</w:t>
      </w:r>
      <w:proofErr w:type="gramEnd"/>
      <w:r w:rsidRPr="00E27FEB">
        <w:rPr>
          <w:rFonts w:cstheme="minorHAnsi"/>
        </w:rPr>
        <w:t xml:space="preserve"> es una expresión que se puede transformar a un número decimal, haciendo la división del numerador entre 100. El símbolo que se usa en porcentajes es %</w:t>
      </w:r>
    </w:p>
    <w:p w:rsidR="00DE4A5F" w:rsidRPr="00E27FEB" w:rsidRDefault="00DE4A5F" w:rsidP="00DE4A5F">
      <w:pPr>
        <w:spacing w:after="0" w:line="360" w:lineRule="auto"/>
        <w:jc w:val="both"/>
        <w:rPr>
          <w:rFonts w:cstheme="minorHAnsi"/>
        </w:rPr>
      </w:pPr>
    </w:p>
    <w:p w:rsidR="00DE4A5F" w:rsidRPr="00E27FEB" w:rsidRDefault="00DE4A5F" w:rsidP="00DE4A5F">
      <w:pPr>
        <w:spacing w:after="0" w:line="360" w:lineRule="auto"/>
        <w:jc w:val="both"/>
        <w:rPr>
          <w:rFonts w:cstheme="minorHAnsi"/>
        </w:rPr>
      </w:pPr>
      <w:r w:rsidRPr="00E27FEB">
        <w:rPr>
          <w:rFonts w:cstheme="minorHAnsi"/>
        </w:rPr>
        <w:t xml:space="preserve">Por ejemplo el 30 </w:t>
      </w:r>
      <w:proofErr w:type="gramStart"/>
      <w:r w:rsidRPr="00E27FEB">
        <w:rPr>
          <w:rFonts w:cstheme="minorHAnsi"/>
        </w:rPr>
        <w:t>%  significa</w:t>
      </w:r>
      <w:proofErr w:type="gramEnd"/>
      <w:r w:rsidRPr="00E27FEB">
        <w:rPr>
          <w:rFonts w:cstheme="minorHAnsi"/>
        </w:rPr>
        <w:t xml:space="preserve"> que son 30 de cada 100, escrito como fracción es: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30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</m:oMath>
      <w:r w:rsidRPr="00E27FEB">
        <w:rPr>
          <w:rFonts w:cstheme="minorHAnsi"/>
        </w:rPr>
        <w:t xml:space="preserve"> ,  para expresarlo en decimales basta dividir el 30 entre 100 y esto es 0.3 </w:t>
      </w:r>
    </w:p>
    <w:p w:rsidR="00DE4A5F" w:rsidRPr="00E27FEB" w:rsidRDefault="00DE4A5F" w:rsidP="00DE4A5F">
      <w:pPr>
        <w:spacing w:after="0" w:line="360" w:lineRule="auto"/>
        <w:jc w:val="both"/>
        <w:rPr>
          <w:rFonts w:cstheme="minorHAnsi"/>
        </w:rPr>
      </w:pPr>
    </w:p>
    <w:p w:rsidR="00DE4A5F" w:rsidRPr="00E27FEB" w:rsidRDefault="00DE4A5F" w:rsidP="00DE4A5F">
      <w:pPr>
        <w:spacing w:after="0" w:line="360" w:lineRule="auto"/>
        <w:jc w:val="both"/>
        <w:rPr>
          <w:rFonts w:cstheme="minorHAnsi"/>
        </w:rPr>
      </w:pPr>
      <w:r w:rsidRPr="00E27FEB">
        <w:rPr>
          <w:rFonts w:cstheme="minorHAnsi"/>
        </w:rPr>
        <w:t xml:space="preserve">Al usar una gráfica para expresar el 30% puede que sea de alguna de las siguientes maneras: una unidad dividida en 100 partes iguales, se iluminan 30 </w:t>
      </w:r>
      <w:proofErr w:type="gramStart"/>
      <w:r w:rsidRPr="00E27FEB">
        <w:rPr>
          <w:rFonts w:cstheme="minorHAnsi"/>
        </w:rPr>
        <w:t>partes  de</w:t>
      </w:r>
      <w:proofErr w:type="gramEnd"/>
      <w:r w:rsidRPr="00E27FEB">
        <w:rPr>
          <w:rFonts w:cstheme="minorHAnsi"/>
        </w:rPr>
        <w:t xml:space="preserve"> 100 partes, que es equivalente a la fracción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30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</m:oMath>
      <w:r w:rsidRPr="00E27FEB">
        <w:rPr>
          <w:rFonts w:cstheme="minorHAnsi"/>
        </w:rPr>
        <w:t xml:space="preserve">, </w:t>
      </w:r>
    </w:p>
    <w:p w:rsidR="00DE4A5F" w:rsidRPr="00E27FEB" w:rsidRDefault="00DE4A5F" w:rsidP="00DE4A5F">
      <w:pPr>
        <w:spacing w:after="0" w:line="360" w:lineRule="auto"/>
        <w:jc w:val="center"/>
        <w:rPr>
          <w:rFonts w:cstheme="minorHAnsi"/>
        </w:rPr>
      </w:pPr>
      <w:r w:rsidRPr="00E27FEB">
        <w:rPr>
          <w:rFonts w:cstheme="minorHAnsi"/>
          <w:noProof/>
          <w:lang w:val="es-MX" w:eastAsia="es-MX"/>
        </w:rPr>
        <w:drawing>
          <wp:inline distT="0" distB="0" distL="0" distR="0" wp14:anchorId="75C1A270" wp14:editId="20818CB7">
            <wp:extent cx="1333774" cy="1311164"/>
            <wp:effectExtent l="57150" t="19050" r="37826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48" cy="131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600000" lon="21299997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DE4A5F" w:rsidRDefault="00DE4A5F" w:rsidP="00DE4A5F">
      <w:pPr>
        <w:spacing w:after="0" w:line="360" w:lineRule="auto"/>
        <w:jc w:val="both"/>
        <w:rPr>
          <w:rFonts w:cstheme="minorHAnsi"/>
        </w:rPr>
      </w:pPr>
      <w:r w:rsidRPr="00E27FEB">
        <w:rPr>
          <w:rFonts w:cstheme="minorHAnsi"/>
        </w:rPr>
        <w:t xml:space="preserve">Usando la simplificación se tiene que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30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</m:oMath>
      <w:r w:rsidRPr="00E27FEB">
        <w:rPr>
          <w:rFonts w:cstheme="minorHAnsi"/>
        </w:rPr>
        <w:t xml:space="preserve">  por lo que una gráfica equivalente es la siguiente:</w:t>
      </w:r>
    </w:p>
    <w:p w:rsidR="00DE4A5F" w:rsidRPr="00E27FEB" w:rsidRDefault="00DE4A5F" w:rsidP="00DE4A5F">
      <w:pPr>
        <w:spacing w:after="0" w:line="360" w:lineRule="auto"/>
        <w:jc w:val="both"/>
        <w:rPr>
          <w:rFonts w:cstheme="minorHAnsi"/>
        </w:rPr>
      </w:pPr>
    </w:p>
    <w:p w:rsidR="00DE4A5F" w:rsidRPr="00E27FEB" w:rsidRDefault="00DE4A5F" w:rsidP="00DE4A5F">
      <w:pPr>
        <w:spacing w:after="0" w:line="360" w:lineRule="auto"/>
        <w:jc w:val="center"/>
        <w:rPr>
          <w:rFonts w:cstheme="minorHAnsi"/>
        </w:rPr>
      </w:pPr>
      <w:r w:rsidRPr="00E27FEB">
        <w:rPr>
          <w:rFonts w:cstheme="minorHAnsi"/>
          <w:noProof/>
          <w:lang w:val="es-MX" w:eastAsia="es-MX"/>
        </w:rPr>
        <w:drawing>
          <wp:inline distT="0" distB="0" distL="0" distR="0" wp14:anchorId="24FFFCDB" wp14:editId="0B943621">
            <wp:extent cx="1660122" cy="19098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50" cy="19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5F" w:rsidRPr="00E27FEB" w:rsidRDefault="00DE4A5F" w:rsidP="00DE4A5F">
      <w:pPr>
        <w:spacing w:after="0" w:line="360" w:lineRule="auto"/>
        <w:jc w:val="both"/>
        <w:rPr>
          <w:rFonts w:cstheme="minorHAnsi"/>
        </w:rPr>
      </w:pPr>
    </w:p>
    <w:p w:rsidR="00DE4A5F" w:rsidRDefault="00DE4A5F" w:rsidP="00DE4A5F">
      <w:pPr>
        <w:spacing w:after="0" w:line="360" w:lineRule="auto"/>
        <w:jc w:val="both"/>
        <w:rPr>
          <w:rFonts w:cstheme="minorHAnsi"/>
        </w:rPr>
      </w:pPr>
    </w:p>
    <w:p w:rsidR="00DE4A5F" w:rsidRPr="00E27FEB" w:rsidRDefault="00DE4A5F" w:rsidP="00DE4A5F">
      <w:pPr>
        <w:spacing w:after="0" w:line="360" w:lineRule="auto"/>
        <w:jc w:val="both"/>
        <w:rPr>
          <w:rFonts w:cstheme="minorHAnsi"/>
        </w:rPr>
      </w:pPr>
      <w:r w:rsidRPr="00E27FEB">
        <w:rPr>
          <w:rFonts w:cstheme="minorHAnsi"/>
        </w:rPr>
        <w:t xml:space="preserve">En el siguiente cuadro se muestran algunos ejemplos que sirven para que te familiarices con las distintas formas de escribir el porcentaje y cada una de estas formas tiene el mismo significado. </w:t>
      </w:r>
    </w:p>
    <w:p w:rsidR="00DE4A5F" w:rsidRPr="00E27FEB" w:rsidRDefault="00DE4A5F" w:rsidP="00DE4A5F">
      <w:pPr>
        <w:spacing w:after="0" w:line="36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696"/>
        <w:gridCol w:w="1729"/>
      </w:tblGrid>
      <w:tr w:rsidR="00DE4A5F" w:rsidRPr="00E27FEB" w:rsidTr="000D287D">
        <w:tc>
          <w:tcPr>
            <w:tcW w:w="1242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27FEB">
              <w:rPr>
                <w:rFonts w:cstheme="minorHAnsi"/>
                <w:b/>
              </w:rPr>
              <w:t>Porcentaje</w:t>
            </w:r>
          </w:p>
        </w:tc>
        <w:tc>
          <w:tcPr>
            <w:tcW w:w="1560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27FEB">
              <w:rPr>
                <w:rFonts w:cstheme="minorHAnsi"/>
                <w:b/>
              </w:rPr>
              <w:t>Forma de fracción</w:t>
            </w:r>
          </w:p>
        </w:tc>
        <w:tc>
          <w:tcPr>
            <w:tcW w:w="1417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27FEB">
              <w:rPr>
                <w:rFonts w:cstheme="minorHAnsi"/>
                <w:b/>
              </w:rPr>
              <w:t>Forma decimal</w:t>
            </w:r>
          </w:p>
        </w:tc>
        <w:tc>
          <w:tcPr>
            <w:tcW w:w="2696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27FEB">
              <w:rPr>
                <w:rFonts w:cstheme="minorHAnsi"/>
                <w:b/>
              </w:rPr>
              <w:t>Como se lee</w:t>
            </w:r>
          </w:p>
        </w:tc>
        <w:tc>
          <w:tcPr>
            <w:tcW w:w="1729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27FEB">
              <w:rPr>
                <w:rFonts w:cstheme="minorHAnsi"/>
                <w:b/>
              </w:rPr>
              <w:t>Significado</w:t>
            </w:r>
          </w:p>
        </w:tc>
      </w:tr>
      <w:tr w:rsidR="00DE4A5F" w:rsidRPr="00E27FEB" w:rsidTr="000D287D">
        <w:tc>
          <w:tcPr>
            <w:tcW w:w="1242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80%</w:t>
            </w:r>
          </w:p>
        </w:tc>
        <w:tc>
          <w:tcPr>
            <w:tcW w:w="1560" w:type="dxa"/>
          </w:tcPr>
          <w:p w:rsidR="00DE4A5F" w:rsidRPr="00E27FEB" w:rsidRDefault="007447DB" w:rsidP="000D287D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0.8</w:t>
            </w:r>
          </w:p>
        </w:tc>
        <w:tc>
          <w:tcPr>
            <w:tcW w:w="2696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Ochenta por ciento</w:t>
            </w:r>
          </w:p>
        </w:tc>
        <w:tc>
          <w:tcPr>
            <w:tcW w:w="1729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80 de cada 100</w:t>
            </w:r>
          </w:p>
        </w:tc>
      </w:tr>
      <w:tr w:rsidR="00DE4A5F" w:rsidRPr="00E27FEB" w:rsidTr="000D287D">
        <w:tc>
          <w:tcPr>
            <w:tcW w:w="1242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45%</w:t>
            </w:r>
          </w:p>
        </w:tc>
        <w:tc>
          <w:tcPr>
            <w:tcW w:w="1560" w:type="dxa"/>
          </w:tcPr>
          <w:p w:rsidR="00DE4A5F" w:rsidRPr="00E27FEB" w:rsidRDefault="007447DB" w:rsidP="000D287D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0.45</w:t>
            </w:r>
          </w:p>
        </w:tc>
        <w:tc>
          <w:tcPr>
            <w:tcW w:w="2696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Cuarenta y cinco por ciento</w:t>
            </w:r>
          </w:p>
        </w:tc>
        <w:tc>
          <w:tcPr>
            <w:tcW w:w="1729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45 de cada 100</w:t>
            </w:r>
          </w:p>
        </w:tc>
      </w:tr>
      <w:tr w:rsidR="00DE4A5F" w:rsidRPr="00E27FEB" w:rsidTr="000D287D">
        <w:tc>
          <w:tcPr>
            <w:tcW w:w="1242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13%</w:t>
            </w:r>
          </w:p>
        </w:tc>
        <w:tc>
          <w:tcPr>
            <w:tcW w:w="1560" w:type="dxa"/>
          </w:tcPr>
          <w:p w:rsidR="00DE4A5F" w:rsidRPr="00E27FEB" w:rsidRDefault="007447DB" w:rsidP="000D287D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0.13</w:t>
            </w:r>
          </w:p>
        </w:tc>
        <w:tc>
          <w:tcPr>
            <w:tcW w:w="2696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Trece por ciento</w:t>
            </w:r>
          </w:p>
        </w:tc>
        <w:tc>
          <w:tcPr>
            <w:tcW w:w="1729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13 de cada 100</w:t>
            </w:r>
          </w:p>
        </w:tc>
      </w:tr>
    </w:tbl>
    <w:p w:rsidR="00DE4A5F" w:rsidRPr="00E27FEB" w:rsidRDefault="00DE4A5F" w:rsidP="00DE4A5F">
      <w:pPr>
        <w:spacing w:after="0" w:line="360" w:lineRule="auto"/>
        <w:rPr>
          <w:rFonts w:cstheme="minorHAnsi"/>
        </w:rPr>
      </w:pPr>
    </w:p>
    <w:p w:rsidR="00DE4A5F" w:rsidRDefault="00DE4A5F" w:rsidP="00DE4A5F">
      <w:pPr>
        <w:spacing w:after="0" w:line="360" w:lineRule="auto"/>
        <w:rPr>
          <w:rFonts w:cstheme="minorHAnsi"/>
        </w:rPr>
      </w:pPr>
      <w:r w:rsidRPr="00E27FEB">
        <w:rPr>
          <w:rFonts w:cstheme="minorHAnsi"/>
        </w:rPr>
        <w:t xml:space="preserve">Usando las formas gráficas, los porcentajes de la tabla anterior quedaran: </w:t>
      </w:r>
    </w:p>
    <w:p w:rsidR="00DE4A5F" w:rsidRDefault="00DE4A5F" w:rsidP="00DE4A5F">
      <w:pPr>
        <w:spacing w:after="0" w:line="360" w:lineRule="auto"/>
        <w:rPr>
          <w:rFonts w:cstheme="minorHAnsi"/>
        </w:rPr>
      </w:pPr>
    </w:p>
    <w:p w:rsidR="00DE4A5F" w:rsidRDefault="00DE4A5F" w:rsidP="00DE4A5F">
      <w:pPr>
        <w:spacing w:after="0" w:line="360" w:lineRule="auto"/>
        <w:rPr>
          <w:rFonts w:cstheme="minorHAnsi"/>
        </w:rPr>
      </w:pPr>
    </w:p>
    <w:p w:rsidR="00DE4A5F" w:rsidRDefault="00DE4A5F" w:rsidP="00DE4A5F">
      <w:pPr>
        <w:spacing w:after="0" w:line="360" w:lineRule="auto"/>
        <w:rPr>
          <w:rFonts w:cstheme="minorHAnsi"/>
        </w:rPr>
      </w:pPr>
    </w:p>
    <w:p w:rsidR="00DE4A5F" w:rsidRDefault="00DE4A5F" w:rsidP="00DE4A5F">
      <w:pPr>
        <w:spacing w:after="0" w:line="360" w:lineRule="auto"/>
        <w:rPr>
          <w:rFonts w:cstheme="minorHAnsi"/>
        </w:rPr>
      </w:pPr>
    </w:p>
    <w:p w:rsidR="00DE4A5F" w:rsidRDefault="00DE4A5F" w:rsidP="00DE4A5F">
      <w:pPr>
        <w:spacing w:after="0" w:line="360" w:lineRule="auto"/>
        <w:rPr>
          <w:rFonts w:cstheme="minorHAnsi"/>
        </w:rPr>
      </w:pPr>
    </w:p>
    <w:p w:rsidR="00DE4A5F" w:rsidRDefault="00DE4A5F" w:rsidP="00DE4A5F">
      <w:pPr>
        <w:spacing w:after="0" w:line="360" w:lineRule="auto"/>
        <w:rPr>
          <w:rFonts w:cstheme="minorHAnsi"/>
        </w:rPr>
      </w:pPr>
    </w:p>
    <w:p w:rsidR="00DE4A5F" w:rsidRDefault="00DE4A5F" w:rsidP="00DE4A5F">
      <w:pPr>
        <w:spacing w:after="0" w:line="360" w:lineRule="auto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846"/>
        <w:gridCol w:w="3210"/>
      </w:tblGrid>
      <w:tr w:rsidR="00DE4A5F" w:rsidRPr="00E27FEB" w:rsidTr="00DE4A5F">
        <w:trPr>
          <w:trHeight w:val="638"/>
          <w:jc w:val="center"/>
        </w:trPr>
        <w:tc>
          <w:tcPr>
            <w:tcW w:w="2017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Porcentajes</w:t>
            </w:r>
          </w:p>
        </w:tc>
        <w:tc>
          <w:tcPr>
            <w:tcW w:w="2846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Gráfica 1</w:t>
            </w:r>
          </w:p>
        </w:tc>
        <w:tc>
          <w:tcPr>
            <w:tcW w:w="3210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Gráfica 2</w:t>
            </w:r>
          </w:p>
        </w:tc>
      </w:tr>
      <w:tr w:rsidR="00DE4A5F" w:rsidRPr="00E27FEB" w:rsidTr="00DE4A5F">
        <w:trPr>
          <w:trHeight w:val="1746"/>
          <w:jc w:val="center"/>
        </w:trPr>
        <w:tc>
          <w:tcPr>
            <w:tcW w:w="2017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</w:p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80%</w:t>
            </w:r>
          </w:p>
        </w:tc>
        <w:tc>
          <w:tcPr>
            <w:tcW w:w="2846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  <w:noProof/>
                <w:lang w:val="es-MX" w:eastAsia="es-MX"/>
              </w:rPr>
              <w:drawing>
                <wp:inline distT="0" distB="0" distL="0" distR="0" wp14:anchorId="4FED37ED" wp14:editId="5A8751D1">
                  <wp:extent cx="831689" cy="838816"/>
                  <wp:effectExtent l="19050" t="0" r="6511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78" cy="840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</w:p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  <w:noProof/>
                <w:lang w:val="es-MX" w:eastAsia="es-MX"/>
              </w:rPr>
              <w:drawing>
                <wp:inline distT="0" distB="0" distL="0" distR="0" wp14:anchorId="145AAD26" wp14:editId="75B145B2">
                  <wp:extent cx="1427786" cy="168419"/>
                  <wp:effectExtent l="19050" t="0" r="964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71" cy="171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A5F" w:rsidRPr="00E27FEB" w:rsidTr="00DE4A5F">
        <w:trPr>
          <w:trHeight w:val="1746"/>
          <w:jc w:val="center"/>
        </w:trPr>
        <w:tc>
          <w:tcPr>
            <w:tcW w:w="2017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</w:p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45%</w:t>
            </w:r>
          </w:p>
        </w:tc>
        <w:tc>
          <w:tcPr>
            <w:tcW w:w="2846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  <w:noProof/>
                <w:lang w:val="es-MX" w:eastAsia="es-MX"/>
              </w:rPr>
              <w:drawing>
                <wp:inline distT="0" distB="0" distL="0" distR="0" wp14:anchorId="2CCBB507" wp14:editId="1DEC8EA8">
                  <wp:extent cx="830578" cy="833377"/>
                  <wp:effectExtent l="19050" t="0" r="7622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75" cy="834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DE4A5F" w:rsidRPr="00E27FEB" w:rsidRDefault="00DE4A5F" w:rsidP="000D287D">
            <w:pPr>
              <w:spacing w:line="360" w:lineRule="auto"/>
              <w:rPr>
                <w:rFonts w:cstheme="minorHAnsi"/>
              </w:rPr>
            </w:pPr>
          </w:p>
          <w:p w:rsidR="00DE4A5F" w:rsidRPr="00E27FEB" w:rsidRDefault="00DE4A5F" w:rsidP="000D287D">
            <w:pPr>
              <w:spacing w:line="360" w:lineRule="auto"/>
              <w:rPr>
                <w:rFonts w:cstheme="minorHAnsi"/>
              </w:rPr>
            </w:pPr>
            <w:r w:rsidRPr="00E27FEB">
              <w:rPr>
                <w:rFonts w:cstheme="minorHAnsi"/>
                <w:noProof/>
                <w:lang w:val="es-MX" w:eastAsia="es-MX"/>
              </w:rPr>
              <w:drawing>
                <wp:inline distT="0" distB="0" distL="0" distR="0" wp14:anchorId="172996F4" wp14:editId="3190D2E7">
                  <wp:extent cx="1479872" cy="335036"/>
                  <wp:effectExtent l="19050" t="0" r="6028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259" cy="335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A5F" w:rsidRPr="00E27FEB" w:rsidTr="00DE4A5F">
        <w:trPr>
          <w:trHeight w:val="2553"/>
          <w:jc w:val="center"/>
        </w:trPr>
        <w:tc>
          <w:tcPr>
            <w:tcW w:w="2017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</w:p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</w:rPr>
              <w:t>13%</w:t>
            </w:r>
          </w:p>
        </w:tc>
        <w:tc>
          <w:tcPr>
            <w:tcW w:w="2846" w:type="dxa"/>
          </w:tcPr>
          <w:p w:rsidR="00DE4A5F" w:rsidRPr="00E27FEB" w:rsidRDefault="00DE4A5F" w:rsidP="000D287D">
            <w:pPr>
              <w:spacing w:line="360" w:lineRule="auto"/>
              <w:jc w:val="center"/>
              <w:rPr>
                <w:rFonts w:cstheme="minorHAnsi"/>
              </w:rPr>
            </w:pPr>
            <w:r w:rsidRPr="00E27FEB">
              <w:rPr>
                <w:rFonts w:cstheme="minorHAnsi"/>
                <w:noProof/>
                <w:lang w:val="es-MX" w:eastAsia="es-MX"/>
              </w:rPr>
              <w:drawing>
                <wp:inline distT="0" distB="0" distL="0" distR="0" wp14:anchorId="1BF7AD9B" wp14:editId="07CBC3F1">
                  <wp:extent cx="872201" cy="867813"/>
                  <wp:effectExtent l="19050" t="0" r="4099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44" cy="869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DE4A5F" w:rsidRPr="00E27FEB" w:rsidRDefault="00DE4A5F" w:rsidP="000D287D">
            <w:pPr>
              <w:spacing w:line="360" w:lineRule="auto"/>
              <w:rPr>
                <w:rFonts w:cstheme="minorHAnsi"/>
              </w:rPr>
            </w:pPr>
          </w:p>
          <w:p w:rsidR="00DE4A5F" w:rsidRPr="00E27FEB" w:rsidRDefault="00DE4A5F" w:rsidP="000D287D">
            <w:pPr>
              <w:spacing w:line="360" w:lineRule="auto"/>
              <w:rPr>
                <w:rFonts w:cstheme="minorHAnsi"/>
              </w:rPr>
            </w:pPr>
            <w:r w:rsidRPr="00E27FEB">
              <w:rPr>
                <w:rFonts w:cstheme="minorHAnsi"/>
              </w:rPr>
              <w:t>No tiene otra gráfica porque 13 es un número primo y no se puede simplificar con 100.</w:t>
            </w:r>
          </w:p>
        </w:tc>
      </w:tr>
    </w:tbl>
    <w:p w:rsidR="00DE4A5F" w:rsidRDefault="00DE4A5F" w:rsidP="002864A5">
      <w:pPr>
        <w:spacing w:after="0" w:line="240" w:lineRule="auto"/>
        <w:jc w:val="both"/>
      </w:pPr>
    </w:p>
    <w:p w:rsidR="00DE4A5F" w:rsidRDefault="00DE4A5F" w:rsidP="002864A5">
      <w:pPr>
        <w:spacing w:after="0" w:line="240" w:lineRule="auto"/>
        <w:jc w:val="both"/>
      </w:pPr>
    </w:p>
    <w:p w:rsidR="00C46719" w:rsidRDefault="00C46719" w:rsidP="002864A5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643245" cy="4947121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91" cy="49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19" w:rsidRDefault="00C46719" w:rsidP="002864A5">
      <w:pPr>
        <w:spacing w:after="0" w:line="240" w:lineRule="auto"/>
        <w:jc w:val="both"/>
      </w:pPr>
    </w:p>
    <w:p w:rsidR="00C46719" w:rsidRDefault="00C46719" w:rsidP="002864A5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6269355" cy="5670306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866" cy="567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19" w:rsidRDefault="00C46719" w:rsidP="002864A5">
      <w:pPr>
        <w:spacing w:after="0" w:line="240" w:lineRule="auto"/>
        <w:jc w:val="both"/>
      </w:pPr>
    </w:p>
    <w:p w:rsidR="00C46719" w:rsidRDefault="00C46719" w:rsidP="002864A5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6438292" cy="1503680"/>
            <wp:effectExtent l="0" t="0" r="635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250" cy="150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33" w:rsidRDefault="00D511C6" w:rsidP="002864A5">
      <w:pPr>
        <w:spacing w:after="0" w:line="240" w:lineRule="auto"/>
        <w:jc w:val="both"/>
        <w:rPr>
          <w:rStyle w:val="Hipervnculo"/>
        </w:rPr>
      </w:pPr>
      <w:r>
        <w:rPr>
          <w:noProof/>
        </w:rPr>
        <w:lastRenderedPageBreak/>
        <w:drawing>
          <wp:inline distT="0" distB="0" distL="0" distR="0">
            <wp:extent cx="5791200" cy="4276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13" w:rsidRDefault="00134A13" w:rsidP="002864A5">
      <w:pPr>
        <w:spacing w:after="0" w:line="240" w:lineRule="auto"/>
        <w:jc w:val="both"/>
        <w:rPr>
          <w:rStyle w:val="Hipervnculo"/>
          <w:b/>
          <w:color w:val="auto"/>
          <w:u w:val="none"/>
        </w:rPr>
      </w:pPr>
      <w:r w:rsidRPr="00134A13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68AF4F63">
            <wp:simplePos x="0" y="0"/>
            <wp:positionH relativeFrom="column">
              <wp:posOffset>-51435</wp:posOffset>
            </wp:positionH>
            <wp:positionV relativeFrom="paragraph">
              <wp:posOffset>50800</wp:posOffset>
            </wp:positionV>
            <wp:extent cx="1099185" cy="857250"/>
            <wp:effectExtent l="0" t="0" r="5715" b="0"/>
            <wp:wrapSquare wrapText="bothSides"/>
            <wp:docPr id="21" name="Imagen 21" descr="C:\Users\usuario\AppData\Local\Microsoft\Windows\INetCache\Content.MSO\60914A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INetCache\Content.MSO\60914A22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833" w:rsidRPr="00F957E8" w:rsidRDefault="00134A13" w:rsidP="002864A5">
      <w:pPr>
        <w:spacing w:after="0" w:line="240" w:lineRule="auto"/>
        <w:jc w:val="both"/>
        <w:rPr>
          <w:rStyle w:val="Hipervnculo"/>
          <w:b/>
          <w:color w:val="auto"/>
          <w:sz w:val="28"/>
          <w:szCs w:val="28"/>
          <w:u w:val="none"/>
        </w:rPr>
      </w:pPr>
      <w:r w:rsidRPr="00F957E8">
        <w:rPr>
          <w:rStyle w:val="Hipervnculo"/>
          <w:b/>
          <w:color w:val="auto"/>
          <w:sz w:val="28"/>
          <w:szCs w:val="28"/>
          <w:u w:val="none"/>
        </w:rPr>
        <w:t>Repasa:</w:t>
      </w:r>
    </w:p>
    <w:p w:rsidR="00816CB0" w:rsidRDefault="007447DB" w:rsidP="002864A5">
      <w:pPr>
        <w:spacing w:after="0" w:line="240" w:lineRule="auto"/>
        <w:jc w:val="both"/>
      </w:pPr>
      <w:hyperlink r:id="rId19" w:history="1">
        <w:r w:rsidR="00AF7833" w:rsidRPr="0099543D">
          <w:rPr>
            <w:rStyle w:val="Hipervnculo"/>
          </w:rPr>
          <w:t>https://www.profesorenlinea.cl/matematica/Porcentaje_fraccion_decimal.html</w:t>
        </w:r>
      </w:hyperlink>
    </w:p>
    <w:p w:rsidR="00816CB0" w:rsidRDefault="00816CB0" w:rsidP="002864A5">
      <w:pPr>
        <w:spacing w:after="0" w:line="240" w:lineRule="auto"/>
        <w:jc w:val="both"/>
      </w:pPr>
    </w:p>
    <w:p w:rsidR="00816CB0" w:rsidRDefault="00816CB0" w:rsidP="002864A5">
      <w:pPr>
        <w:spacing w:after="0" w:line="240" w:lineRule="auto"/>
        <w:jc w:val="both"/>
      </w:pPr>
    </w:p>
    <w:p w:rsidR="00816CB0" w:rsidRDefault="00816CB0" w:rsidP="002864A5">
      <w:pPr>
        <w:spacing w:after="0" w:line="240" w:lineRule="auto"/>
        <w:jc w:val="both"/>
      </w:pPr>
    </w:p>
    <w:p w:rsidR="00AF7833" w:rsidRPr="00F957E8" w:rsidRDefault="00AF7833" w:rsidP="00EB1EBE">
      <w:pPr>
        <w:spacing w:after="0" w:line="240" w:lineRule="auto"/>
        <w:jc w:val="both"/>
        <w:rPr>
          <w:rStyle w:val="Hipervnculo"/>
          <w:b/>
          <w:sz w:val="28"/>
          <w:szCs w:val="28"/>
          <w:u w:val="none"/>
        </w:rPr>
      </w:pPr>
      <w:r w:rsidRPr="00F957E8">
        <w:rPr>
          <w:rStyle w:val="Hipervnculo"/>
          <w:b/>
          <w:color w:val="auto"/>
          <w:sz w:val="28"/>
          <w:szCs w:val="28"/>
          <w:u w:val="none"/>
        </w:rPr>
        <w:t xml:space="preserve">Interactúa con </w:t>
      </w:r>
      <w:proofErr w:type="spellStart"/>
      <w:r w:rsidRPr="00F957E8">
        <w:rPr>
          <w:rStyle w:val="Hipervnculo"/>
          <w:b/>
          <w:color w:val="auto"/>
          <w:sz w:val="28"/>
          <w:szCs w:val="28"/>
          <w:u w:val="none"/>
        </w:rPr>
        <w:t>Geogebra</w:t>
      </w:r>
      <w:proofErr w:type="spellEnd"/>
      <w:r w:rsidRPr="00F957E8">
        <w:rPr>
          <w:rStyle w:val="Hipervnculo"/>
          <w:b/>
          <w:color w:val="auto"/>
          <w:sz w:val="28"/>
          <w:szCs w:val="28"/>
          <w:u w:val="none"/>
        </w:rPr>
        <w:t>:</w:t>
      </w:r>
    </w:p>
    <w:p w:rsidR="00AF7833" w:rsidRDefault="00AF7833" w:rsidP="00EB1EBE">
      <w:pPr>
        <w:spacing w:after="0" w:line="240" w:lineRule="auto"/>
        <w:jc w:val="both"/>
        <w:rPr>
          <w:rStyle w:val="Hipervnculo"/>
        </w:rPr>
      </w:pPr>
    </w:p>
    <w:p w:rsidR="00EB1EBE" w:rsidRDefault="007447DB" w:rsidP="00EB1EBE">
      <w:pPr>
        <w:spacing w:after="0" w:line="240" w:lineRule="auto"/>
        <w:jc w:val="both"/>
      </w:pPr>
      <w:hyperlink r:id="rId20" w:anchor=":~:text=Una%20de%20las%20maneras%20mas,entre%20100%2C%20obtendr%C3%A1s%20el%20porcentaje" w:history="1">
        <w:r w:rsidR="00AF7833" w:rsidRPr="0099543D">
          <w:rPr>
            <w:rStyle w:val="Hipervnculo"/>
          </w:rPr>
          <w:t>https://www.geogebra.org/m/paprb9jb#:~:text=Una%20de%20las%20maneras%20mas,entre%20100%2C%20obtendr%C3%A1s%20el%20porcentaje</w:t>
        </w:r>
      </w:hyperlink>
      <w:r w:rsidR="00EB1EBE" w:rsidRPr="00985499">
        <w:t>.</w:t>
      </w:r>
    </w:p>
    <w:p w:rsidR="00EB1EBE" w:rsidRDefault="00EB1EBE" w:rsidP="00EB1EBE">
      <w:pPr>
        <w:spacing w:after="0" w:line="240" w:lineRule="auto"/>
        <w:jc w:val="both"/>
      </w:pPr>
    </w:p>
    <w:p w:rsidR="00853C36" w:rsidRDefault="00985499">
      <w:r>
        <w:rPr>
          <w:noProof/>
        </w:rPr>
        <w:drawing>
          <wp:inline distT="0" distB="0" distL="0" distR="0">
            <wp:extent cx="3467100" cy="18725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140" cy="187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534" w:rsidRPr="00F957E8" w:rsidRDefault="007D5534" w:rsidP="00990B22">
      <w:pPr>
        <w:spacing w:after="0" w:line="360" w:lineRule="auto"/>
        <w:rPr>
          <w:rFonts w:cstheme="minorHAnsi"/>
          <w:b/>
          <w:sz w:val="28"/>
          <w:szCs w:val="28"/>
        </w:rPr>
      </w:pPr>
      <w:r w:rsidRPr="00F957E8">
        <w:rPr>
          <w:rFonts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61678013">
            <wp:simplePos x="0" y="0"/>
            <wp:positionH relativeFrom="column">
              <wp:posOffset>-108585</wp:posOffset>
            </wp:positionH>
            <wp:positionV relativeFrom="paragraph">
              <wp:posOffset>91440</wp:posOffset>
            </wp:positionV>
            <wp:extent cx="1266825" cy="1266825"/>
            <wp:effectExtent l="0" t="0" r="9525" b="9525"/>
            <wp:wrapSquare wrapText="bothSides"/>
            <wp:docPr id="15" name="Imagen 15" descr="C:\Users\usuario\AppData\Local\Microsoft\Windows\INetCache\Content.MSO\E6D4DB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E6D4DB7D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7E8" w:rsidRPr="00F957E8">
        <w:rPr>
          <w:rFonts w:cstheme="minorHAnsi"/>
          <w:b/>
          <w:sz w:val="28"/>
          <w:szCs w:val="28"/>
        </w:rPr>
        <w:t>Resumen:</w:t>
      </w:r>
    </w:p>
    <w:p w:rsidR="00990B22" w:rsidRPr="00F957E8" w:rsidRDefault="007D5534" w:rsidP="00990B22">
      <w:pPr>
        <w:spacing w:after="0" w:line="360" w:lineRule="auto"/>
        <w:rPr>
          <w:rFonts w:cstheme="minorHAnsi"/>
          <w:b/>
          <w:sz w:val="28"/>
          <w:szCs w:val="28"/>
        </w:rPr>
      </w:pPr>
      <w:r w:rsidRPr="00F957E8">
        <w:rPr>
          <w:rFonts w:cstheme="minorHAnsi"/>
          <w:b/>
          <w:sz w:val="28"/>
          <w:szCs w:val="28"/>
        </w:rPr>
        <w:t>Relación entre la fracción, el decimal y el porcentaje:</w:t>
      </w:r>
    </w:p>
    <w:p w:rsidR="007D5534" w:rsidRDefault="007447DB" w:rsidP="007D5534">
      <w:pPr>
        <w:jc w:val="both"/>
        <w:rPr>
          <w:b/>
        </w:rPr>
      </w:pPr>
      <w:hyperlink r:id="rId23" w:history="1">
        <w:r w:rsidR="007D5534" w:rsidRPr="0099543D">
          <w:rPr>
            <w:rStyle w:val="Hipervnculo"/>
            <w:b/>
          </w:rPr>
          <w:t>https://www.youtube.com/watch?v=8PjkMdWUX5U</w:t>
        </w:r>
      </w:hyperlink>
    </w:p>
    <w:p w:rsidR="00990B22" w:rsidRPr="00E27FEB" w:rsidRDefault="00990B22" w:rsidP="00990B22">
      <w:pPr>
        <w:spacing w:after="0" w:line="360" w:lineRule="auto"/>
        <w:rPr>
          <w:rFonts w:cstheme="minorHAnsi"/>
        </w:rPr>
      </w:pPr>
    </w:p>
    <w:p w:rsidR="00990B22" w:rsidRPr="00E27FEB" w:rsidRDefault="00990B22" w:rsidP="00990B22">
      <w:pPr>
        <w:spacing w:after="0" w:line="360" w:lineRule="auto"/>
        <w:rPr>
          <w:rFonts w:cstheme="minorHAnsi"/>
          <w:b/>
        </w:rPr>
      </w:pPr>
    </w:p>
    <w:p w:rsidR="00990B22" w:rsidRPr="00E27FEB" w:rsidRDefault="00990B22" w:rsidP="00990B22">
      <w:pPr>
        <w:spacing w:after="0" w:line="240" w:lineRule="auto"/>
        <w:rPr>
          <w:rFonts w:cstheme="minorHAnsi"/>
          <w:b/>
        </w:rPr>
      </w:pPr>
    </w:p>
    <w:p w:rsidR="00990B22" w:rsidRPr="00E27FEB" w:rsidRDefault="00990B22" w:rsidP="00990B22">
      <w:pPr>
        <w:shd w:val="clear" w:color="auto" w:fill="D5DCE4" w:themeFill="text2" w:themeFillTint="33"/>
        <w:spacing w:after="0" w:line="240" w:lineRule="auto"/>
        <w:rPr>
          <w:rFonts w:cstheme="minorHAnsi"/>
          <w:b/>
        </w:rPr>
      </w:pPr>
      <w:r w:rsidRPr="00E27FEB">
        <w:rPr>
          <w:rFonts w:cstheme="minorHAnsi"/>
          <w:b/>
        </w:rPr>
        <w:t>¿Cómo obtener el porcentaje de un número?</w:t>
      </w:r>
    </w:p>
    <w:p w:rsidR="00990B22" w:rsidRPr="00E27FEB" w:rsidRDefault="00990B22" w:rsidP="00990B22">
      <w:pPr>
        <w:spacing w:after="0" w:line="240" w:lineRule="auto"/>
        <w:rPr>
          <w:rFonts w:cstheme="minorHAnsi"/>
          <w:b/>
        </w:rPr>
      </w:pPr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  <w:r w:rsidRPr="00E27FEB">
        <w:rPr>
          <w:rFonts w:cstheme="minorHAnsi"/>
        </w:rPr>
        <w:t>Ya que estas familiarizado con lo que significa y con las distintas formas de escribir un porcentaje,  ahora vas a aprender a obtener el porcentaje de un número, para que lo entiendas te lo explicaremos con un ejemplo:</w:t>
      </w:r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  <w:r w:rsidRPr="00E27FEB">
        <w:rPr>
          <w:rFonts w:cstheme="minorHAnsi"/>
        </w:rPr>
        <w:t xml:space="preserve">Obtén el 30% de 80. El proceso es sencillo, tú escribes el porcentaje en forma de  fracción </w:t>
      </w:r>
      <m:oMath>
        <m:r>
          <w:rPr>
            <w:rFonts w:ascii="Cambria Math" w:hAnsi="Cambria Math" w:cstheme="minorHAnsi"/>
          </w:rPr>
          <m:t>30%</m:t>
        </m:r>
      </m:oMath>
      <w:r w:rsidRPr="00E27FEB">
        <w:rPr>
          <w:rFonts w:cstheme="minorHAnsi"/>
        </w:rPr>
        <w:t xml:space="preserve"> =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30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</m:oMath>
      <w:r w:rsidRPr="00E27FEB">
        <w:rPr>
          <w:rFonts w:cstheme="minorHAnsi"/>
        </w:rPr>
        <w:t xml:space="preserve"> , y lo que sigues es multiplicar la fracción por el número, para el caso del ejemplo queda:</w:t>
      </w:r>
    </w:p>
    <w:p w:rsidR="00990B22" w:rsidRPr="00E27FEB" w:rsidRDefault="007447DB" w:rsidP="00990B22">
      <w:pPr>
        <w:spacing w:after="0" w:line="240" w:lineRule="auto"/>
        <w:jc w:val="center"/>
        <w:rPr>
          <w:rFonts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30</m:t>
              </m:r>
            </m:num>
            <m:den>
              <m:r>
                <w:rPr>
                  <w:rFonts w:ascii="Cambria Math" w:hAnsi="Cambria Math" w:cstheme="minorHAnsi"/>
                </w:rPr>
                <m:t>100</m:t>
              </m:r>
            </m:den>
          </m:f>
          <m:r>
            <w:rPr>
              <w:rFonts w:ascii="Cambria Math" w:hAnsi="Cambria Math" w:cstheme="minorHAnsi"/>
            </w:rPr>
            <m:t xml:space="preserve"> ×80</m:t>
          </m:r>
        </m:oMath>
      </m:oMathPara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  <w:r w:rsidRPr="00E27FEB">
        <w:rPr>
          <w:rFonts w:cstheme="minorHAnsi"/>
        </w:rPr>
        <w:t xml:space="preserve">Resolviendo </w:t>
      </w:r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  <w:r w:rsidRPr="00E27FEB">
        <w:rPr>
          <w:rFonts w:cstheme="minorHAnsi"/>
        </w:rPr>
        <w:br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30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  <m:r>
          <w:rPr>
            <w:rFonts w:ascii="Cambria Math" w:hAnsi="Cambria Math" w:cstheme="minorHAnsi"/>
          </w:rPr>
          <m:t xml:space="preserve"> ×80</m:t>
        </m:r>
      </m:oMath>
      <w:r w:rsidRPr="00E27FEB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2400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</m:oMath>
      <w:r w:rsidRPr="00E27FEB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=24</m:t>
        </m:r>
      </m:oMath>
      <w:r w:rsidRPr="00E27FEB">
        <w:rPr>
          <w:rFonts w:cstheme="minorHAnsi"/>
        </w:rPr>
        <w:t>, de esto resulta que el 30% de 80 es 24.</w:t>
      </w: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  <w:r w:rsidRPr="00E27FEB">
        <w:rPr>
          <w:rFonts w:cstheme="minorHAnsi"/>
        </w:rPr>
        <w:t>Veamos otro ejemplo</w:t>
      </w: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  <w:r w:rsidRPr="00E27FEB">
        <w:rPr>
          <w:rFonts w:cstheme="minorHAnsi"/>
        </w:rPr>
        <w:t xml:space="preserve">Obtén el 50% de 5206 se hace el mismo proceso </w:t>
      </w: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</w:p>
    <w:p w:rsidR="00990B22" w:rsidRPr="00E27FEB" w:rsidRDefault="007447DB" w:rsidP="00990B22">
      <w:pPr>
        <w:spacing w:after="0" w:line="240" w:lineRule="auto"/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50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  <m:r>
          <w:rPr>
            <w:rFonts w:ascii="Cambria Math" w:hAnsi="Cambria Math" w:cstheme="minorHAnsi"/>
          </w:rPr>
          <m:t xml:space="preserve">×5206=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50×5206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260300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  <m:r>
          <w:rPr>
            <w:rFonts w:ascii="Cambria Math" w:hAnsi="Cambria Math" w:cstheme="minorHAnsi"/>
          </w:rPr>
          <m:t>=2603</m:t>
        </m:r>
      </m:oMath>
      <w:r w:rsidR="00990B22" w:rsidRPr="00E27FEB">
        <w:rPr>
          <w:rFonts w:cstheme="minorHAnsi"/>
        </w:rPr>
        <w:t xml:space="preserve"> </w:t>
      </w: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  <w:r w:rsidRPr="00E27FEB">
        <w:rPr>
          <w:rFonts w:cstheme="minorHAnsi"/>
        </w:rPr>
        <w:t>Por lo tanto el 50% de 5206 es 2603</w:t>
      </w: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  <w:r w:rsidRPr="00E27FEB">
        <w:rPr>
          <w:rFonts w:cstheme="minorHAnsi"/>
        </w:rPr>
        <w:t>Un ejemplo de la vida diaria:</w:t>
      </w:r>
    </w:p>
    <w:p w:rsidR="00990B22" w:rsidRPr="00E27FEB" w:rsidRDefault="00990B22" w:rsidP="00990B22">
      <w:pPr>
        <w:spacing w:after="0" w:line="240" w:lineRule="auto"/>
        <w:rPr>
          <w:rFonts w:cstheme="minorHAnsi"/>
        </w:rPr>
      </w:pPr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  <w:r w:rsidRPr="00E27FEB">
        <w:rPr>
          <w:rFonts w:cstheme="minorHAnsi"/>
        </w:rPr>
        <w:t>El valor de un platillo en un restaurante es de $ 93 pesos sin IVA, ¿Cuánto debe pagar en total una persona, si el Impuesto de valor agregado (IVA) es del 15%.</w:t>
      </w:r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  <w:r w:rsidRPr="00E27FEB">
        <w:rPr>
          <w:rFonts w:cstheme="minorHAnsi"/>
        </w:rPr>
        <w:t>Primero se calcula el IVA del precio.</w:t>
      </w:r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</w:p>
    <w:p w:rsidR="00990B22" w:rsidRPr="00E27FEB" w:rsidRDefault="007447DB" w:rsidP="00990B22">
      <w:pPr>
        <w:spacing w:after="0" w:line="240" w:lineRule="auto"/>
        <w:jc w:val="both"/>
        <w:rPr>
          <w:rFonts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</w:rPr>
                <m:t>100</m:t>
              </m:r>
            </m:den>
          </m:f>
          <m:r>
            <w:rPr>
              <w:rFonts w:ascii="Cambria Math" w:hAnsi="Cambria Math" w:cstheme="minorHAnsi"/>
            </w:rPr>
            <m:t>×93=13.95</m:t>
          </m:r>
        </m:oMath>
      </m:oMathPara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  <w:r w:rsidRPr="00E27FEB">
        <w:rPr>
          <w:rFonts w:cstheme="minorHAnsi"/>
        </w:rPr>
        <w:t xml:space="preserve">Y lo que dé, se le suma al costo del platillo: </w:t>
      </w:r>
    </w:p>
    <w:p w:rsidR="00990B22" w:rsidRPr="00E27FEB" w:rsidRDefault="00990B22" w:rsidP="00990B22">
      <w:pPr>
        <w:spacing w:after="0" w:line="240" w:lineRule="auto"/>
        <w:jc w:val="both"/>
        <w:rPr>
          <w:rFonts w:eastAsiaTheme="minorEastAsia" w:cstheme="minorHAnsi"/>
        </w:rPr>
      </w:pPr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96+13.95=106.95</m:t>
          </m:r>
        </m:oMath>
      </m:oMathPara>
    </w:p>
    <w:p w:rsidR="00990B22" w:rsidRPr="00E27FEB" w:rsidRDefault="00990B22" w:rsidP="00990B22">
      <w:pPr>
        <w:spacing w:after="0" w:line="240" w:lineRule="auto"/>
        <w:jc w:val="both"/>
        <w:rPr>
          <w:rFonts w:cstheme="minorHAnsi"/>
        </w:rPr>
      </w:pPr>
    </w:p>
    <w:p w:rsidR="00990B22" w:rsidRDefault="00990B22" w:rsidP="00990B22">
      <w:pPr>
        <w:spacing w:after="0" w:line="240" w:lineRule="auto"/>
        <w:jc w:val="both"/>
        <w:rPr>
          <w:rFonts w:cstheme="minorHAnsi"/>
        </w:rPr>
      </w:pPr>
      <w:r w:rsidRPr="00E27FEB">
        <w:rPr>
          <w:rFonts w:cstheme="minorHAnsi"/>
        </w:rPr>
        <w:t xml:space="preserve">Por </w:t>
      </w:r>
      <w:proofErr w:type="gramStart"/>
      <w:r w:rsidRPr="00E27FEB">
        <w:rPr>
          <w:rFonts w:cstheme="minorHAnsi"/>
        </w:rPr>
        <w:t>tanto</w:t>
      </w:r>
      <w:proofErr w:type="gramEnd"/>
      <w:r w:rsidRPr="00E27FEB">
        <w:rPr>
          <w:rFonts w:cstheme="minorHAnsi"/>
        </w:rPr>
        <w:t xml:space="preserve"> debe pagar $ 106.95</w:t>
      </w:r>
    </w:p>
    <w:p w:rsidR="00F957E8" w:rsidRDefault="00F957E8" w:rsidP="00990B22">
      <w:pPr>
        <w:spacing w:after="0" w:line="240" w:lineRule="auto"/>
        <w:jc w:val="both"/>
        <w:rPr>
          <w:rFonts w:cstheme="minorHAnsi"/>
        </w:rPr>
      </w:pPr>
    </w:p>
    <w:p w:rsidR="003A4EF2" w:rsidRDefault="003A4EF2" w:rsidP="00990B22">
      <w:pPr>
        <w:spacing w:after="0" w:line="240" w:lineRule="auto"/>
        <w:jc w:val="both"/>
        <w:rPr>
          <w:rFonts w:cstheme="minorHAnsi"/>
        </w:rPr>
      </w:pPr>
    </w:p>
    <w:p w:rsidR="00F957E8" w:rsidRPr="003A4EF2" w:rsidRDefault="003A4EF2" w:rsidP="00990B22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B85E289">
            <wp:simplePos x="0" y="0"/>
            <wp:positionH relativeFrom="column">
              <wp:posOffset>3491865</wp:posOffset>
            </wp:positionH>
            <wp:positionV relativeFrom="paragraph">
              <wp:posOffset>-290830</wp:posOffset>
            </wp:positionV>
            <wp:extent cx="1724025" cy="1128678"/>
            <wp:effectExtent l="0" t="0" r="0" b="0"/>
            <wp:wrapNone/>
            <wp:docPr id="23" name="Imagen 23" descr="C:\Users\usuario\AppData\Local\Microsoft\Windows\INetCache\Content.MSO\B0ABDD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B0ABDD54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2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7E8" w:rsidRPr="003A4EF2">
        <w:rPr>
          <w:rFonts w:cstheme="minorHAnsi"/>
          <w:b/>
          <w:sz w:val="28"/>
          <w:szCs w:val="28"/>
        </w:rPr>
        <w:t>Calcular porcentajes sin calculadora:</w:t>
      </w:r>
    </w:p>
    <w:p w:rsidR="00F957E8" w:rsidRDefault="00F957E8" w:rsidP="00990B22">
      <w:pPr>
        <w:spacing w:after="0" w:line="240" w:lineRule="auto"/>
        <w:jc w:val="both"/>
        <w:rPr>
          <w:rFonts w:cstheme="minorHAnsi"/>
        </w:rPr>
      </w:pPr>
    </w:p>
    <w:p w:rsidR="003A4EF2" w:rsidRDefault="007447DB" w:rsidP="00990B22">
      <w:pPr>
        <w:spacing w:after="0" w:line="240" w:lineRule="auto"/>
        <w:jc w:val="both"/>
        <w:rPr>
          <w:rFonts w:cstheme="minorHAnsi"/>
        </w:rPr>
      </w:pPr>
      <w:hyperlink r:id="rId25" w:history="1">
        <w:r w:rsidR="003A4EF2" w:rsidRPr="0099543D">
          <w:rPr>
            <w:rStyle w:val="Hipervnculo"/>
            <w:rFonts w:cstheme="minorHAnsi"/>
          </w:rPr>
          <w:t>https://www.youtube.com/watch?v=y98aiAErP68</w:t>
        </w:r>
      </w:hyperlink>
    </w:p>
    <w:p w:rsidR="003A4EF2" w:rsidRPr="00E27FEB" w:rsidRDefault="003A4EF2" w:rsidP="00990B22">
      <w:pPr>
        <w:spacing w:after="0" w:line="240" w:lineRule="auto"/>
        <w:jc w:val="both"/>
        <w:rPr>
          <w:rFonts w:cstheme="minorHAnsi"/>
        </w:rPr>
      </w:pPr>
    </w:p>
    <w:sectPr w:rsidR="003A4EF2" w:rsidRPr="00E27FEB" w:rsidSect="00B02739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B4E"/>
    <w:multiLevelType w:val="hybridMultilevel"/>
    <w:tmpl w:val="B3A2F362"/>
    <w:lvl w:ilvl="0" w:tplc="C8B43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5096A"/>
    <w:multiLevelType w:val="hybridMultilevel"/>
    <w:tmpl w:val="FC0013E8"/>
    <w:lvl w:ilvl="0" w:tplc="618A43E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F1C5D6A"/>
    <w:multiLevelType w:val="hybridMultilevel"/>
    <w:tmpl w:val="F7F659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035"/>
    <w:multiLevelType w:val="hybridMultilevel"/>
    <w:tmpl w:val="8DCC60A0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E29B0"/>
    <w:multiLevelType w:val="hybridMultilevel"/>
    <w:tmpl w:val="DDD6F9E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A5"/>
    <w:rsid w:val="00134A13"/>
    <w:rsid w:val="00181CA9"/>
    <w:rsid w:val="00222F32"/>
    <w:rsid w:val="002864A5"/>
    <w:rsid w:val="00291920"/>
    <w:rsid w:val="003234F0"/>
    <w:rsid w:val="003A4EF2"/>
    <w:rsid w:val="00420783"/>
    <w:rsid w:val="0051227D"/>
    <w:rsid w:val="006B0CD9"/>
    <w:rsid w:val="007447DB"/>
    <w:rsid w:val="007D5534"/>
    <w:rsid w:val="00816CB0"/>
    <w:rsid w:val="00853C36"/>
    <w:rsid w:val="00984064"/>
    <w:rsid w:val="00985499"/>
    <w:rsid w:val="00990B22"/>
    <w:rsid w:val="00AF7833"/>
    <w:rsid w:val="00B02739"/>
    <w:rsid w:val="00BF2CC7"/>
    <w:rsid w:val="00C46719"/>
    <w:rsid w:val="00C61767"/>
    <w:rsid w:val="00C946A2"/>
    <w:rsid w:val="00D511C6"/>
    <w:rsid w:val="00DE1508"/>
    <w:rsid w:val="00DE4A5F"/>
    <w:rsid w:val="00DF302B"/>
    <w:rsid w:val="00E27FEB"/>
    <w:rsid w:val="00E7748B"/>
    <w:rsid w:val="00EB1EBE"/>
    <w:rsid w:val="00EC5B38"/>
    <w:rsid w:val="00F2757F"/>
    <w:rsid w:val="00F957E8"/>
    <w:rsid w:val="00F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3D38"/>
  <w15:docId w15:val="{9EF2E6AC-13A0-4E39-87A3-7F55273A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4A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4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90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0B2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54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992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952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2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6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98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49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7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801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604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4201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7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460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784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654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33642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2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96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2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52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4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289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8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398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55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783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5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6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3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68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0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441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41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5871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954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22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51924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9783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0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7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5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51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444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517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022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0037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1045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4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41918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9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3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4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3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15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341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38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4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253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www.youtube.com/watch?v=y98aiAErP68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www.geogebra.org/m/paprb9j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jpeg"/><Relationship Id="rId5" Type="http://schemas.openxmlformats.org/officeDocument/2006/relationships/hyperlink" Target="https://es.khanacademy.org/math/cc-sixth-grade-math/cc-6th-ratios-prop-topic/cc-6th-percent-decimal-conversions/a/converting-between-percents-fractions-decimals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s://www.youtube.com/watch?v=8PjkMdWUX5U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profesorenlinea.cl/matematica/Porcentaje_fraccion_decima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Gamboa</dc:creator>
  <cp:lastModifiedBy>usuario</cp:lastModifiedBy>
  <cp:revision>3</cp:revision>
  <dcterms:created xsi:type="dcterms:W3CDTF">2023-01-29T02:40:00Z</dcterms:created>
  <dcterms:modified xsi:type="dcterms:W3CDTF">2023-01-29T02:40:00Z</dcterms:modified>
</cp:coreProperties>
</file>