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4CD6" w14:textId="77777777" w:rsidR="005F0D7E" w:rsidRPr="00DE6A0D" w:rsidRDefault="009D3362">
      <w:pPr>
        <w:rPr>
          <w:rFonts w:ascii="Bradley Hand ITC" w:hAnsi="Bradley Hand ITC"/>
          <w:b/>
          <w:bCs/>
        </w:rPr>
      </w:pPr>
      <w:r w:rsidRPr="00DE6A0D">
        <w:rPr>
          <w:rFonts w:ascii="Bradley Hand ITC" w:hAnsi="Bradley Hand ITC"/>
          <w:b/>
          <w:bCs/>
        </w:rPr>
        <w:t>Adaptación de los seres vivos al medio</w:t>
      </w:r>
    </w:p>
    <w:p w14:paraId="79F7B68B" w14:textId="30A1D7E9" w:rsidR="003D2CB9" w:rsidRPr="00DE6A0D" w:rsidRDefault="00EB6AF2">
      <w:pPr>
        <w:rPr>
          <w:rFonts w:ascii="Bradley Hand ITC" w:hAnsi="Bradley Hand ITC"/>
        </w:rPr>
      </w:pPr>
      <w:r w:rsidRPr="00DE6A0D">
        <w:rPr>
          <w:rFonts w:ascii="Bradley Hand ITC" w:hAnsi="Bradley Hand ITC"/>
        </w:rPr>
        <w:t>Todos los seres vivos deben adaptarse o tener algunas cualidades que les permitan sobrevivir. Ante cambios bruscos en el medio no todas las especies tienen esta capacidad y a lo largo de la historia evolutiva muchas se han quedado atrás y han desaparecido. Otras, a pesar de su simpleza, han logrado llegar hasta nues</w:t>
      </w:r>
      <w:r w:rsidR="00671A3B" w:rsidRPr="00DE6A0D">
        <w:rPr>
          <w:rFonts w:ascii="Bradley Hand ITC" w:hAnsi="Bradley Hand ITC"/>
          <w:noProof/>
        </w:rPr>
        <w:drawing>
          <wp:anchor distT="0" distB="0" distL="114300" distR="114300" simplePos="0" relativeHeight="251663360" behindDoc="0" locked="0" layoutInCell="1" allowOverlap="1" wp14:anchorId="255026E5" wp14:editId="0EF0F61D">
            <wp:simplePos x="0" y="0"/>
            <wp:positionH relativeFrom="column">
              <wp:posOffset>0</wp:posOffset>
            </wp:positionH>
            <wp:positionV relativeFrom="paragraph">
              <wp:posOffset>852170</wp:posOffset>
            </wp:positionV>
            <wp:extent cx="5197475" cy="3867785"/>
            <wp:effectExtent l="0" t="0" r="317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5197475" cy="3867785"/>
                    </a:xfrm>
                    <a:prstGeom prst="rect">
                      <a:avLst/>
                    </a:prstGeom>
                  </pic:spPr>
                </pic:pic>
              </a:graphicData>
            </a:graphic>
            <wp14:sizeRelH relativeFrom="margin">
              <wp14:pctWidth>0</wp14:pctWidth>
            </wp14:sizeRelH>
            <wp14:sizeRelV relativeFrom="margin">
              <wp14:pctHeight>0</wp14:pctHeight>
            </wp14:sizeRelV>
          </wp:anchor>
        </w:drawing>
      </w:r>
      <w:r w:rsidRPr="00DE6A0D">
        <w:rPr>
          <w:rFonts w:ascii="Bradley Hand ITC" w:hAnsi="Bradley Hand ITC"/>
        </w:rPr>
        <w:t>tros días.</w:t>
      </w:r>
    </w:p>
    <w:p w14:paraId="1F5E9BAD" w14:textId="4BE4E374" w:rsidR="0006362A" w:rsidRPr="00DE6A0D" w:rsidRDefault="00E53137">
      <w:pPr>
        <w:rPr>
          <w:rFonts w:ascii="Bradley Hand ITC" w:hAnsi="Bradley Hand ITC"/>
        </w:rPr>
      </w:pPr>
      <w:r w:rsidRPr="00DE6A0D">
        <w:rPr>
          <w:rFonts w:ascii="Bradley Hand ITC" w:hAnsi="Bradley Hand ITC"/>
          <w:noProof/>
        </w:rPr>
        <w:drawing>
          <wp:anchor distT="0" distB="0" distL="114300" distR="114300" simplePos="0" relativeHeight="251660288" behindDoc="0" locked="0" layoutInCell="1" allowOverlap="1" wp14:anchorId="6B0C0544" wp14:editId="77513FBB">
            <wp:simplePos x="0" y="0"/>
            <wp:positionH relativeFrom="column">
              <wp:posOffset>170815</wp:posOffset>
            </wp:positionH>
            <wp:positionV relativeFrom="paragraph">
              <wp:posOffset>4260215</wp:posOffset>
            </wp:positionV>
            <wp:extent cx="3331845" cy="3481705"/>
            <wp:effectExtent l="0" t="0" r="1905" b="444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3331845" cy="3481705"/>
                    </a:xfrm>
                    <a:prstGeom prst="rect">
                      <a:avLst/>
                    </a:prstGeom>
                  </pic:spPr>
                </pic:pic>
              </a:graphicData>
            </a:graphic>
            <wp14:sizeRelH relativeFrom="margin">
              <wp14:pctWidth>0</wp14:pctWidth>
            </wp14:sizeRelH>
            <wp14:sizeRelV relativeFrom="margin">
              <wp14:pctHeight>0</wp14:pctHeight>
            </wp14:sizeRelV>
          </wp:anchor>
        </w:drawing>
      </w:r>
    </w:p>
    <w:p w14:paraId="476712E7" w14:textId="77777777" w:rsidR="005E6AF0" w:rsidRPr="00DE6A0D" w:rsidRDefault="005E6AF0">
      <w:pPr>
        <w:rPr>
          <w:rFonts w:ascii="Bradley Hand ITC" w:hAnsi="Bradley Hand ITC"/>
        </w:rPr>
      </w:pPr>
    </w:p>
    <w:p w14:paraId="1ED5EF4E" w14:textId="3A1D9968" w:rsidR="005E6AF0" w:rsidRPr="00DE6A0D" w:rsidRDefault="005E6AF0">
      <w:pPr>
        <w:rPr>
          <w:rFonts w:ascii="Bradley Hand ITC" w:hAnsi="Bradley Hand ITC"/>
        </w:rPr>
      </w:pPr>
      <w:r w:rsidRPr="00DE6A0D">
        <w:rPr>
          <w:rFonts w:ascii="Bradley Hand ITC" w:hAnsi="Bradley Hand ITC"/>
          <w:noProof/>
        </w:rPr>
        <w:drawing>
          <wp:anchor distT="0" distB="0" distL="114300" distR="114300" simplePos="0" relativeHeight="251661312" behindDoc="0" locked="0" layoutInCell="1" allowOverlap="1" wp14:anchorId="708DAD98" wp14:editId="6382EE83">
            <wp:simplePos x="0" y="0"/>
            <wp:positionH relativeFrom="column">
              <wp:posOffset>73025</wp:posOffset>
            </wp:positionH>
            <wp:positionV relativeFrom="paragraph">
              <wp:posOffset>456565</wp:posOffset>
            </wp:positionV>
            <wp:extent cx="4325620" cy="2836545"/>
            <wp:effectExtent l="0" t="0" r="0" b="190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4325620" cy="2836545"/>
                    </a:xfrm>
                    <a:prstGeom prst="rect">
                      <a:avLst/>
                    </a:prstGeom>
                  </pic:spPr>
                </pic:pic>
              </a:graphicData>
            </a:graphic>
            <wp14:sizeRelH relativeFrom="margin">
              <wp14:pctWidth>0</wp14:pctWidth>
            </wp14:sizeRelH>
            <wp14:sizeRelV relativeFrom="margin">
              <wp14:pctHeight>0</wp14:pctHeight>
            </wp14:sizeRelV>
          </wp:anchor>
        </w:drawing>
      </w:r>
    </w:p>
    <w:p w14:paraId="0B171060" w14:textId="77777777" w:rsidR="005E6AF0" w:rsidRPr="00DE6A0D" w:rsidRDefault="005E6AF0">
      <w:pPr>
        <w:rPr>
          <w:rFonts w:ascii="Bradley Hand ITC" w:hAnsi="Bradley Hand ITC"/>
        </w:rPr>
      </w:pPr>
    </w:p>
    <w:p w14:paraId="24ED1EB2" w14:textId="77777777" w:rsidR="005E6AF0" w:rsidRPr="00DE6A0D" w:rsidRDefault="005E6AF0">
      <w:pPr>
        <w:rPr>
          <w:rFonts w:ascii="Bradley Hand ITC" w:hAnsi="Bradley Hand ITC"/>
        </w:rPr>
      </w:pPr>
    </w:p>
    <w:p w14:paraId="1E80E158" w14:textId="37BF6982" w:rsidR="00DF293C" w:rsidRPr="00DE6A0D" w:rsidRDefault="00DF293C">
      <w:pPr>
        <w:rPr>
          <w:rFonts w:ascii="Bradley Hand ITC" w:hAnsi="Bradley Hand ITC"/>
          <w:b/>
          <w:bCs/>
        </w:rPr>
      </w:pPr>
      <w:r w:rsidRPr="00DE6A0D">
        <w:rPr>
          <w:rFonts w:ascii="Bradley Hand ITC" w:hAnsi="Bradley Hand ITC"/>
          <w:b/>
          <w:bCs/>
        </w:rPr>
        <w:t>Tipos de adaptaciones de los seres vivos al medio</w:t>
      </w:r>
    </w:p>
    <w:p w14:paraId="7AECA96D" w14:textId="77777777" w:rsidR="00971D80" w:rsidRPr="00DE6A0D" w:rsidRDefault="00971D80">
      <w:pPr>
        <w:rPr>
          <w:rFonts w:ascii="Bradley Hand ITC" w:hAnsi="Bradley Hand ITC"/>
        </w:rPr>
      </w:pPr>
      <w:r w:rsidRPr="00DE6A0D">
        <w:rPr>
          <w:rFonts w:ascii="Bradley Hand ITC" w:hAnsi="Bradley Hand ITC"/>
        </w:rPr>
        <w:t>Gracias a la adaptación, muchas especies han conseguido sobrevivir a lo largo de la historia del planeta. Todos los seres vivos son intrínsecamente adaptables, pero muchas de estas adaptaciones se han producido al azar, es decir, la aparición o desaparición de genes porque, por ejemplo, ciertos individuos no han conseguido sobrevivir, no porque no estuvieran adaptados a su medio, sino porque cualquier catástrofe ha podido hacer desaparecer su rastro del planeta. La aparición de ciertos caracteres ha podido acontecer debido a la mutación aleatoria de parte de su genoma. Los diferentes tipos de adaptaciones son:</w:t>
      </w:r>
    </w:p>
    <w:p w14:paraId="642CBFD1" w14:textId="77777777" w:rsidR="00971D80" w:rsidRPr="00DE6A0D" w:rsidRDefault="00971D80">
      <w:pPr>
        <w:rPr>
          <w:rFonts w:ascii="Bradley Hand ITC" w:hAnsi="Bradley Hand ITC"/>
        </w:rPr>
      </w:pPr>
    </w:p>
    <w:p w14:paraId="23C7B3A2" w14:textId="77777777" w:rsidR="00971D80" w:rsidRPr="00DE6A0D" w:rsidRDefault="00971D80">
      <w:pPr>
        <w:rPr>
          <w:rFonts w:ascii="Bradley Hand ITC" w:hAnsi="Bradley Hand ITC"/>
          <w:b/>
          <w:bCs/>
        </w:rPr>
      </w:pPr>
      <w:r w:rsidRPr="00DE6A0D">
        <w:rPr>
          <w:rFonts w:ascii="Bradley Hand ITC" w:hAnsi="Bradley Hand ITC"/>
          <w:b/>
          <w:bCs/>
        </w:rPr>
        <w:t>Adaptaciones fisiológicas</w:t>
      </w:r>
    </w:p>
    <w:p w14:paraId="3F43073F" w14:textId="77777777" w:rsidR="00971D80" w:rsidRPr="00DE6A0D" w:rsidRDefault="00971D80">
      <w:pPr>
        <w:rPr>
          <w:rFonts w:ascii="Bradley Hand ITC" w:hAnsi="Bradley Hand ITC"/>
        </w:rPr>
      </w:pPr>
      <w:r w:rsidRPr="00DE6A0D">
        <w:rPr>
          <w:rFonts w:ascii="Bradley Hand ITC" w:hAnsi="Bradley Hand ITC"/>
        </w:rPr>
        <w:t>Estas adaptaciones están relacionadas con cambios en el metabolismo de los organismos. Ciertos órganos comienzan a funcionar de distinta manera cuando ocurren ciertos cambios en el medio. Las dos adaptaciones fisiológicas más conocidas son la hibernación y la estivación.</w:t>
      </w:r>
    </w:p>
    <w:p w14:paraId="0979DAF9" w14:textId="77777777" w:rsidR="00971D80" w:rsidRPr="00DE6A0D" w:rsidRDefault="00971D80">
      <w:pPr>
        <w:rPr>
          <w:rFonts w:ascii="Bradley Hand ITC" w:hAnsi="Bradley Hand ITC"/>
        </w:rPr>
      </w:pPr>
    </w:p>
    <w:p w14:paraId="22D24931" w14:textId="77777777" w:rsidR="00971D80" w:rsidRPr="00DE6A0D" w:rsidRDefault="00971D80">
      <w:pPr>
        <w:rPr>
          <w:rFonts w:ascii="Bradley Hand ITC" w:hAnsi="Bradley Hand ITC"/>
        </w:rPr>
      </w:pPr>
      <w:r w:rsidRPr="00DE6A0D">
        <w:rPr>
          <w:rFonts w:ascii="Bradley Hand ITC" w:hAnsi="Bradley Hand ITC"/>
        </w:rPr>
        <w:t>En ambos casos, ya sea cuando la temperatura ambiental desciende muy por debajo de los 0ºC o muy por encima de los 40ºC, unidos a una humedad relativa baja, ciertos seres son capaces de disminuir su metabolismo basal hasta tal punto que permanecen en un estado de latencia durante cortos o largos periodos de tiempo, para así poder sobrevivir a las estaciones más devastadoras de su ecosistema.</w:t>
      </w:r>
    </w:p>
    <w:p w14:paraId="784EA242" w14:textId="77777777" w:rsidR="00971D80" w:rsidRPr="00DE6A0D" w:rsidRDefault="00971D80">
      <w:pPr>
        <w:rPr>
          <w:rFonts w:ascii="Bradley Hand ITC" w:hAnsi="Bradley Hand ITC"/>
        </w:rPr>
      </w:pPr>
    </w:p>
    <w:p w14:paraId="7CAE48A9" w14:textId="77777777" w:rsidR="000C4DD2" w:rsidRDefault="000C4DD2">
      <w:pPr>
        <w:rPr>
          <w:rFonts w:ascii="Bradley Hand ITC" w:hAnsi="Bradley Hand ITC"/>
        </w:rPr>
      </w:pPr>
    </w:p>
    <w:p w14:paraId="7BB3A66C" w14:textId="2AA0FA47" w:rsidR="00971D80" w:rsidRPr="000C4DD2" w:rsidRDefault="00971D80">
      <w:pPr>
        <w:rPr>
          <w:rFonts w:ascii="Bradley Hand ITC" w:hAnsi="Bradley Hand ITC"/>
          <w:b/>
          <w:bCs/>
        </w:rPr>
      </w:pPr>
      <w:r w:rsidRPr="000C4DD2">
        <w:rPr>
          <w:rFonts w:ascii="Bradley Hand ITC" w:hAnsi="Bradley Hand ITC"/>
          <w:b/>
          <w:bCs/>
        </w:rPr>
        <w:t>Adaptaciones morfológicas</w:t>
      </w:r>
    </w:p>
    <w:p w14:paraId="36048588" w14:textId="77777777" w:rsidR="00971D80" w:rsidRPr="00DE6A0D" w:rsidRDefault="00971D80">
      <w:pPr>
        <w:rPr>
          <w:rFonts w:ascii="Bradley Hand ITC" w:hAnsi="Bradley Hand ITC"/>
        </w:rPr>
      </w:pPr>
      <w:r w:rsidRPr="00DE6A0D">
        <w:rPr>
          <w:rFonts w:ascii="Bradley Hand ITC" w:hAnsi="Bradley Hand ITC"/>
        </w:rPr>
        <w:t xml:space="preserve">Son estructuras externas de los animales que les permiten una mejor adaptación a su medio. Por ejemplo, las aletas de los animales acuáticos o el pelaje tupido en animales que habitan climas fríos. Pero las dos adaptaciones morfológicas más atractivas son la </w:t>
      </w:r>
      <w:proofErr w:type="spellStart"/>
      <w:r w:rsidRPr="00DE6A0D">
        <w:rPr>
          <w:rFonts w:ascii="Bradley Hand ITC" w:hAnsi="Bradley Hand ITC"/>
        </w:rPr>
        <w:t>cripsis</w:t>
      </w:r>
      <w:proofErr w:type="spellEnd"/>
      <w:r w:rsidRPr="00DE6A0D">
        <w:rPr>
          <w:rFonts w:ascii="Bradley Hand ITC" w:hAnsi="Bradley Hand ITC"/>
        </w:rPr>
        <w:t xml:space="preserve"> o camuflaje y el mimetismo.</w:t>
      </w:r>
    </w:p>
    <w:p w14:paraId="66837577" w14:textId="77777777" w:rsidR="00971D80" w:rsidRPr="00DE6A0D" w:rsidRDefault="00971D80">
      <w:pPr>
        <w:rPr>
          <w:rFonts w:ascii="Bradley Hand ITC" w:hAnsi="Bradley Hand ITC"/>
        </w:rPr>
      </w:pPr>
    </w:p>
    <w:p w14:paraId="5C3E45DF" w14:textId="77777777" w:rsidR="00971D80" w:rsidRPr="00DE6A0D" w:rsidRDefault="00971D80">
      <w:pPr>
        <w:rPr>
          <w:rFonts w:ascii="Bradley Hand ITC" w:hAnsi="Bradley Hand ITC"/>
        </w:rPr>
      </w:pPr>
      <w:r w:rsidRPr="00DE6A0D">
        <w:rPr>
          <w:rFonts w:ascii="Bradley Hand ITC" w:hAnsi="Bradley Hand ITC"/>
        </w:rPr>
        <w:t>Los animales crípticos son aquellos que se camuflan a la perfección con su medio y son casi imposibles de detectar en un paisaje, como son los insectos-palo o los insectos-hoja. Por otro lado, el mimetismo consiste en imitar la apariencia de animales peligrosos, por ejemplo, las mariposas monarcas son sumamente venenosas y no tienen muchos depredadores, la mariposa virrey tiene el mismo aspecto físico sin ser venenosa, pero al parecerse a la monarca tampoco es depredada.</w:t>
      </w:r>
    </w:p>
    <w:p w14:paraId="5C0B6E93" w14:textId="77777777" w:rsidR="00971D80" w:rsidRPr="00DE6A0D" w:rsidRDefault="00971D80">
      <w:pPr>
        <w:rPr>
          <w:rFonts w:ascii="Bradley Hand ITC" w:hAnsi="Bradley Hand ITC"/>
        </w:rPr>
      </w:pPr>
    </w:p>
    <w:p w14:paraId="3D9DF331" w14:textId="77777777" w:rsidR="00971D80" w:rsidRPr="009A07C5" w:rsidRDefault="00971D80">
      <w:pPr>
        <w:rPr>
          <w:rFonts w:ascii="Bradley Hand ITC" w:hAnsi="Bradley Hand ITC"/>
          <w:b/>
          <w:bCs/>
        </w:rPr>
      </w:pPr>
      <w:r w:rsidRPr="009A07C5">
        <w:rPr>
          <w:rFonts w:ascii="Bradley Hand ITC" w:hAnsi="Bradley Hand ITC"/>
          <w:b/>
          <w:bCs/>
        </w:rPr>
        <w:t>Adaptaciones comportamentales</w:t>
      </w:r>
    </w:p>
    <w:p w14:paraId="6F8766F4" w14:textId="77777777" w:rsidR="00971D80" w:rsidRPr="00DE6A0D" w:rsidRDefault="00971D80">
      <w:pPr>
        <w:rPr>
          <w:rFonts w:ascii="Bradley Hand ITC" w:hAnsi="Bradley Hand ITC"/>
        </w:rPr>
      </w:pPr>
      <w:r w:rsidRPr="00DE6A0D">
        <w:rPr>
          <w:rFonts w:ascii="Bradley Hand ITC" w:hAnsi="Bradley Hand ITC"/>
        </w:rPr>
        <w:t>Estas adaptaciones llevan a los animales a desarrollar ciertas conductas que consiguen la supervivencia del individuo o la especie. Huir de un depredador, esconderse, buscar refugio o forrajear en busca de alimentos nutritivos son ejemplos de adaptaciones comportamentales, aunque las dos más características de este tipo de adaptación son la migración o el cortejo. La migración sirve a los animales para huir de su medio cuando las condiciones climatológicas no son las idóneas. El cortejo es un conjunto de pautas conductuales que tienen como fin encontrar pareja y reproducirse.</w:t>
      </w:r>
    </w:p>
    <w:p w14:paraId="5925F4D9" w14:textId="77777777" w:rsidR="00EA5831" w:rsidRPr="00195FB4" w:rsidRDefault="00EA5831">
      <w:pPr>
        <w:rPr>
          <w:rFonts w:ascii="Bradley Hand ITC" w:hAnsi="Bradley Hand ITC"/>
          <w:b/>
          <w:bCs/>
        </w:rPr>
      </w:pPr>
      <w:r w:rsidRPr="00195FB4">
        <w:rPr>
          <w:rFonts w:ascii="Bradley Hand ITC" w:hAnsi="Bradley Hand ITC"/>
          <w:b/>
          <w:bCs/>
        </w:rPr>
        <w:t>Ejemplos de adaptaciones de los seres vivos al medio</w:t>
      </w:r>
    </w:p>
    <w:p w14:paraId="202F0346" w14:textId="77777777" w:rsidR="00EA5831" w:rsidRDefault="00EA5831">
      <w:pPr>
        <w:rPr>
          <w:rFonts w:ascii="Bradley Hand ITC" w:hAnsi="Bradley Hand ITC"/>
        </w:rPr>
      </w:pPr>
      <w:r>
        <w:rPr>
          <w:rFonts w:ascii="Bradley Hand ITC" w:hAnsi="Bradley Hand ITC"/>
        </w:rPr>
        <w:t>A continuación nombraremos algunas adaptaciones que hacen a ciertos animales idóneos para el medio en el que viven:</w:t>
      </w:r>
    </w:p>
    <w:p w14:paraId="1C3DF10C" w14:textId="77777777" w:rsidR="00EA5831" w:rsidRPr="00195FB4" w:rsidRDefault="00EA5831">
      <w:pPr>
        <w:rPr>
          <w:rFonts w:ascii="Bradley Hand ITC" w:hAnsi="Bradley Hand ITC"/>
          <w:b/>
          <w:bCs/>
        </w:rPr>
      </w:pPr>
      <w:r w:rsidRPr="00195FB4">
        <w:rPr>
          <w:rFonts w:ascii="Bradley Hand ITC" w:hAnsi="Bradley Hand ITC"/>
          <w:b/>
          <w:bCs/>
        </w:rPr>
        <w:t>Ejemplos de adaptación terrestre</w:t>
      </w:r>
    </w:p>
    <w:p w14:paraId="0F552A96" w14:textId="77777777" w:rsidR="00EA5831" w:rsidRDefault="00EA5831">
      <w:pPr>
        <w:rPr>
          <w:rFonts w:ascii="Bradley Hand ITC" w:hAnsi="Bradley Hand ITC"/>
        </w:rPr>
      </w:pPr>
      <w:r>
        <w:rPr>
          <w:rFonts w:ascii="Bradley Hand ITC" w:hAnsi="Bradley Hand ITC"/>
        </w:rPr>
        <w:t>La cáscara de los huevos en reptiles y aves son un ejemplo de adaptación al medio terrestre, ya que impide la desecación del embrión. El pelo en mamíferos es otra adecuación al medio terrestre pues sirve para proteger la piel.</w:t>
      </w:r>
    </w:p>
    <w:p w14:paraId="514F6C12" w14:textId="77777777" w:rsidR="00EA5831" w:rsidRDefault="00EA5831">
      <w:pPr>
        <w:rPr>
          <w:rFonts w:ascii="Bradley Hand ITC" w:hAnsi="Bradley Hand ITC"/>
        </w:rPr>
      </w:pPr>
    </w:p>
    <w:p w14:paraId="6EF1D57D" w14:textId="77777777" w:rsidR="00EA5831" w:rsidRPr="00195FB4" w:rsidRDefault="00EA5831">
      <w:pPr>
        <w:rPr>
          <w:rFonts w:ascii="Bradley Hand ITC" w:hAnsi="Bradley Hand ITC"/>
          <w:b/>
          <w:bCs/>
        </w:rPr>
      </w:pPr>
      <w:r w:rsidRPr="00195FB4">
        <w:rPr>
          <w:rFonts w:ascii="Bradley Hand ITC" w:hAnsi="Bradley Hand ITC"/>
          <w:b/>
          <w:bCs/>
        </w:rPr>
        <w:t>Ejemplos de adaptación al medio acuático</w:t>
      </w:r>
    </w:p>
    <w:p w14:paraId="4E980C47" w14:textId="77777777" w:rsidR="00EA5831" w:rsidRDefault="00EA5831">
      <w:pPr>
        <w:rPr>
          <w:rFonts w:ascii="Bradley Hand ITC" w:hAnsi="Bradley Hand ITC"/>
        </w:rPr>
      </w:pPr>
      <w:r>
        <w:rPr>
          <w:rFonts w:ascii="Bradley Hand ITC" w:hAnsi="Bradley Hand ITC"/>
        </w:rPr>
        <w:t>Las aletas en peces o mamíferos acuáticos les permiten moverse mejor en al agua. Así mismo, las membranas interdigitales de anfibios y aves tienen el mismo efecto.</w:t>
      </w:r>
    </w:p>
    <w:p w14:paraId="3A1BE0FA" w14:textId="77777777" w:rsidR="00EA5831" w:rsidRDefault="00EA5831">
      <w:pPr>
        <w:rPr>
          <w:rFonts w:ascii="Bradley Hand ITC" w:hAnsi="Bradley Hand ITC"/>
        </w:rPr>
      </w:pPr>
    </w:p>
    <w:p w14:paraId="5A92A0D9" w14:textId="77777777" w:rsidR="00EA5831" w:rsidRPr="00195FB4" w:rsidRDefault="00EA5831">
      <w:pPr>
        <w:rPr>
          <w:rFonts w:ascii="Bradley Hand ITC" w:hAnsi="Bradley Hand ITC"/>
          <w:b/>
          <w:bCs/>
        </w:rPr>
      </w:pPr>
      <w:r w:rsidRPr="00195FB4">
        <w:rPr>
          <w:rFonts w:ascii="Bradley Hand ITC" w:hAnsi="Bradley Hand ITC"/>
          <w:b/>
          <w:bCs/>
        </w:rPr>
        <w:t>Ejemplos de adaptación a la luz o a su ausencia</w:t>
      </w:r>
    </w:p>
    <w:p w14:paraId="4631905B" w14:textId="77777777" w:rsidR="00EA5831" w:rsidRDefault="00EA5831">
      <w:pPr>
        <w:rPr>
          <w:rFonts w:ascii="Bradley Hand ITC" w:hAnsi="Bradley Hand ITC"/>
        </w:rPr>
      </w:pPr>
      <w:r>
        <w:rPr>
          <w:rFonts w:ascii="Bradley Hand ITC" w:hAnsi="Bradley Hand ITC"/>
        </w:rPr>
        <w:t>Los animales nocturnos tienen glóbulos oculares muy desarrollados que les permiten ver durante la noche. Los animales que viven bajo tierra y no dependen de la luz para ver suelen carecer del sentido de la vista.</w:t>
      </w:r>
    </w:p>
    <w:p w14:paraId="767BBFA2" w14:textId="77777777" w:rsidR="00EA5831" w:rsidRDefault="00EA5831">
      <w:pPr>
        <w:rPr>
          <w:rFonts w:ascii="Bradley Hand ITC" w:hAnsi="Bradley Hand ITC"/>
        </w:rPr>
      </w:pPr>
    </w:p>
    <w:p w14:paraId="04739C1F" w14:textId="77777777" w:rsidR="00EA5831" w:rsidRPr="00195FB4" w:rsidRDefault="00EA5831">
      <w:pPr>
        <w:rPr>
          <w:rFonts w:ascii="Bradley Hand ITC" w:hAnsi="Bradley Hand ITC"/>
          <w:b/>
          <w:bCs/>
        </w:rPr>
      </w:pPr>
      <w:r w:rsidRPr="00195FB4">
        <w:rPr>
          <w:rFonts w:ascii="Bradley Hand ITC" w:hAnsi="Bradley Hand ITC"/>
          <w:b/>
          <w:bCs/>
        </w:rPr>
        <w:t>Ejemplos de la adaptación a la temperatura</w:t>
      </w:r>
    </w:p>
    <w:p w14:paraId="623904E3" w14:textId="77777777" w:rsidR="00EA5831" w:rsidRDefault="00EA5831">
      <w:pPr>
        <w:rPr>
          <w:rFonts w:ascii="Bradley Hand ITC" w:hAnsi="Bradley Hand ITC"/>
        </w:rPr>
      </w:pPr>
      <w:r>
        <w:rPr>
          <w:rFonts w:ascii="Bradley Hand ITC" w:hAnsi="Bradley Hand ITC"/>
        </w:rPr>
        <w:t>La acumulación de grasa bajo la piel es una adaptación a los climas fríos. Según la regla de Allen, los animales que viven en zonas frías poseen extremidades, orejas, colas u hocicos más cortos que los animales que viven en zonas cálidas, pues deben impedir la pérdida de calor.</w:t>
      </w:r>
    </w:p>
    <w:p w14:paraId="23A8A20D" w14:textId="5D38A48A" w:rsidR="00EA5831" w:rsidRDefault="00EA5831">
      <w:pPr>
        <w:rPr>
          <w:rFonts w:ascii="Bradley Hand ITC" w:hAnsi="Bradley Hand ITC"/>
        </w:rPr>
      </w:pPr>
      <w:r>
        <w:rPr>
          <w:rFonts w:ascii="Bradley Hand ITC" w:hAnsi="Bradley Hand ITC"/>
        </w:rPr>
        <w:t>Sin embrago, los animales que viven en zonas muy cálidas se caracterizan, por ejemplo, por tener grandes orejas que les permiten una mayor pérdida de calor corporal y, en consecuencia, una mayor refrigeración.</w:t>
      </w:r>
    </w:p>
    <w:p w14:paraId="61F805CD" w14:textId="610D2D21" w:rsidR="00445463" w:rsidRPr="00DE6A0D" w:rsidRDefault="00C24856">
      <w:pPr>
        <w:rPr>
          <w:rFonts w:ascii="Bradley Hand ITC" w:hAnsi="Bradley Hand ITC"/>
        </w:rPr>
      </w:pPr>
      <w:r>
        <w:rPr>
          <w:rFonts w:ascii="Bradley Hand ITC" w:hAnsi="Bradley Hand ITC"/>
          <w:noProof/>
        </w:rPr>
        <w:drawing>
          <wp:anchor distT="0" distB="0" distL="114300" distR="114300" simplePos="0" relativeHeight="251664384" behindDoc="0" locked="0" layoutInCell="1" allowOverlap="1" wp14:anchorId="2690A769" wp14:editId="178A1158">
            <wp:simplePos x="0" y="0"/>
            <wp:positionH relativeFrom="column">
              <wp:posOffset>-166370</wp:posOffset>
            </wp:positionH>
            <wp:positionV relativeFrom="paragraph">
              <wp:posOffset>71120</wp:posOffset>
            </wp:positionV>
            <wp:extent cx="4699635" cy="3524250"/>
            <wp:effectExtent l="0" t="0" r="571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4699635" cy="3524250"/>
                    </a:xfrm>
                    <a:prstGeom prst="rect">
                      <a:avLst/>
                    </a:prstGeom>
                  </pic:spPr>
                </pic:pic>
              </a:graphicData>
            </a:graphic>
            <wp14:sizeRelH relativeFrom="margin">
              <wp14:pctWidth>0</wp14:pctWidth>
            </wp14:sizeRelH>
            <wp14:sizeRelV relativeFrom="margin">
              <wp14:pctHeight>0</wp14:pctHeight>
            </wp14:sizeRelV>
          </wp:anchor>
        </w:drawing>
      </w:r>
    </w:p>
    <w:p w14:paraId="38A01786" w14:textId="77777777" w:rsidR="00671A3B" w:rsidRPr="00DE6A0D" w:rsidRDefault="00671A3B">
      <w:pPr>
        <w:rPr>
          <w:rFonts w:ascii="Bradley Hand ITC" w:hAnsi="Bradley Hand ITC"/>
        </w:rPr>
      </w:pPr>
    </w:p>
    <w:sectPr w:rsidR="00671A3B" w:rsidRPr="00DE6A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62"/>
    <w:rsid w:val="0006362A"/>
    <w:rsid w:val="000C4DD2"/>
    <w:rsid w:val="0013564B"/>
    <w:rsid w:val="00195FB4"/>
    <w:rsid w:val="003D2CB9"/>
    <w:rsid w:val="00445463"/>
    <w:rsid w:val="004A5F69"/>
    <w:rsid w:val="005B7E56"/>
    <w:rsid w:val="005E6AF0"/>
    <w:rsid w:val="005F0D7E"/>
    <w:rsid w:val="00671A3B"/>
    <w:rsid w:val="0082119F"/>
    <w:rsid w:val="008E002C"/>
    <w:rsid w:val="00971D80"/>
    <w:rsid w:val="009A07C5"/>
    <w:rsid w:val="009D3362"/>
    <w:rsid w:val="00C24856"/>
    <w:rsid w:val="00DE6A0D"/>
    <w:rsid w:val="00DF293C"/>
    <w:rsid w:val="00E53137"/>
    <w:rsid w:val="00EA5831"/>
    <w:rsid w:val="00EB6AF2"/>
    <w:rsid w:val="00FB16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C450233"/>
  <w15:chartTrackingRefBased/>
  <w15:docId w15:val="{7286A870-174E-9C43-B2DA-0805E08E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4" Type="http://schemas.openxmlformats.org/officeDocument/2006/relationships/image" Target="media/image1.jpeg"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3880</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Guilombo Lugo</dc:creator>
  <cp:keywords/>
  <dc:description/>
  <cp:lastModifiedBy>Diana Guilombo Lugo</cp:lastModifiedBy>
  <cp:revision>2</cp:revision>
  <dcterms:created xsi:type="dcterms:W3CDTF">2021-09-30T23:37:00Z</dcterms:created>
  <dcterms:modified xsi:type="dcterms:W3CDTF">2021-09-30T23:37:00Z</dcterms:modified>
</cp:coreProperties>
</file>