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-630"/>
        <w:tblW w:w="0" w:type="auto"/>
        <w:tblLook w:val="04A0" w:firstRow="1" w:lastRow="0" w:firstColumn="1" w:lastColumn="0" w:noHBand="0" w:noVBand="1"/>
      </w:tblPr>
      <w:tblGrid>
        <w:gridCol w:w="1762"/>
        <w:gridCol w:w="5565"/>
        <w:gridCol w:w="1501"/>
      </w:tblGrid>
      <w:tr w:rsidR="005C42BA" w:rsidTr="008F75CD">
        <w:trPr>
          <w:trHeight w:val="339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2BA" w:rsidRDefault="005C42BA" w:rsidP="008F75CD">
            <w:bookmarkStart w:id="0" w:name="_GoBack"/>
            <w:bookmarkEnd w:id="0"/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13D66DF" wp14:editId="7BA0364D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0</wp:posOffset>
                  </wp:positionV>
                  <wp:extent cx="542925" cy="838835"/>
                  <wp:effectExtent l="0" t="0" r="9525" b="0"/>
                  <wp:wrapSquare wrapText="bothSides"/>
                  <wp:docPr id="6" name="Imagen 6" descr="LA POESIA PUERTA DE LA CREATIVIDAD: DESCRIPCIÓN GENERAL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OESIA PUERTA DE LA CREATIVIDAD: DESCRIPCIÓN GENERAL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2BA" w:rsidRPr="00AE16FB" w:rsidRDefault="005C42BA" w:rsidP="008F75CD">
            <w:pPr>
              <w:jc w:val="center"/>
              <w:rPr>
                <w:sz w:val="16"/>
                <w:szCs w:val="18"/>
              </w:rPr>
            </w:pPr>
            <w:r w:rsidRPr="00A5720D">
              <w:rPr>
                <w:rFonts w:ascii="Arial" w:hAnsi="Arial" w:cs="Arial"/>
                <w:b/>
              </w:rPr>
              <w:t xml:space="preserve">Institución Educativa Técnica </w:t>
            </w:r>
            <w:r>
              <w:rPr>
                <w:rFonts w:ascii="Arial" w:hAnsi="Arial" w:cs="Arial"/>
                <w:b/>
              </w:rPr>
              <w:t xml:space="preserve">Empresarial Miguel de Cervantes Saavedra </w:t>
            </w:r>
          </w:p>
        </w:tc>
      </w:tr>
      <w:tr w:rsidR="005C42BA" w:rsidTr="008F75CD">
        <w:trPr>
          <w:trHeight w:val="212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2BA" w:rsidRDefault="005C42BA" w:rsidP="008F75CD">
            <w:pPr>
              <w:jc w:val="both"/>
            </w:pPr>
          </w:p>
        </w:tc>
        <w:tc>
          <w:tcPr>
            <w:tcW w:w="7066" w:type="dxa"/>
            <w:gridSpan w:val="2"/>
            <w:tcBorders>
              <w:bottom w:val="single" w:sz="4" w:space="0" w:color="auto"/>
            </w:tcBorders>
            <w:vAlign w:val="center"/>
          </w:tcPr>
          <w:p w:rsidR="005C42BA" w:rsidRPr="00AE16FB" w:rsidRDefault="005C42BA" w:rsidP="008F75CD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i/>
                <w:sz w:val="20"/>
              </w:rPr>
              <w:t xml:space="preserve">Educación por ciclos </w:t>
            </w:r>
          </w:p>
        </w:tc>
      </w:tr>
      <w:tr w:rsidR="005C42BA" w:rsidRPr="00C36CE3" w:rsidTr="008F75CD">
        <w:trPr>
          <w:trHeight w:hRule="exact" w:val="339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2BA" w:rsidRPr="00C36CE3" w:rsidRDefault="005C42BA" w:rsidP="008F7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BA" w:rsidRPr="00C36CE3" w:rsidRDefault="005C42BA" w:rsidP="008F75C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Educación física </w:t>
            </w:r>
          </w:p>
        </w:tc>
        <w:tc>
          <w:tcPr>
            <w:tcW w:w="1501" w:type="dxa"/>
            <w:vMerge w:val="restart"/>
            <w:vAlign w:val="center"/>
          </w:tcPr>
          <w:p w:rsidR="005C42BA" w:rsidRPr="00C36CE3" w:rsidRDefault="005C42BA" w:rsidP="008F75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2021</w:t>
            </w:r>
          </w:p>
        </w:tc>
      </w:tr>
      <w:tr w:rsidR="005C42BA" w:rsidRPr="00C36CE3" w:rsidTr="008F75CD">
        <w:trPr>
          <w:trHeight w:hRule="exact" w:val="339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2BA" w:rsidRPr="00C36CE3" w:rsidRDefault="005C42BA" w:rsidP="008F7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2BA" w:rsidRPr="00373BFF" w:rsidRDefault="005C42BA" w:rsidP="008F75CD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sz w:val="32"/>
              </w:rPr>
            </w:pPr>
            <w:r w:rsidRPr="00373BFF">
              <w:rPr>
                <w:b/>
                <w:sz w:val="32"/>
              </w:rPr>
              <w:t xml:space="preserve">Lanzamiento </w:t>
            </w:r>
            <w:r>
              <w:rPr>
                <w:b/>
                <w:sz w:val="32"/>
              </w:rPr>
              <w:t>de disco</w:t>
            </w:r>
          </w:p>
          <w:p w:rsidR="005C42BA" w:rsidRPr="00C36CE3" w:rsidRDefault="005C42BA" w:rsidP="008F75C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vAlign w:val="center"/>
          </w:tcPr>
          <w:p w:rsidR="005C42BA" w:rsidRPr="00C36CE3" w:rsidRDefault="005C42BA" w:rsidP="008F75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C42BA" w:rsidRDefault="005C42BA" w:rsidP="001C64D6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C64D6" w:rsidRPr="001C64D6" w:rsidRDefault="001C64D6" w:rsidP="001C64D6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C64D6">
        <w:rPr>
          <w:rFonts w:ascii="Arial" w:hAnsi="Arial" w:cs="Arial"/>
          <w:b/>
          <w:sz w:val="24"/>
          <w:szCs w:val="24"/>
          <w:shd w:val="clear" w:color="auto" w:fill="FFFFFF"/>
        </w:rPr>
        <w:t>Lanzamiento de disco</w:t>
      </w:r>
    </w:p>
    <w:p w:rsidR="00D168D8" w:rsidRPr="001C64D6" w:rsidRDefault="001C64D6" w:rsidP="001C64D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64D6">
        <w:rPr>
          <w:rFonts w:ascii="Arial" w:hAnsi="Arial" w:cs="Arial"/>
          <w:sz w:val="24"/>
          <w:szCs w:val="24"/>
          <w:shd w:val="clear" w:color="auto" w:fill="FFFFFF"/>
        </w:rPr>
        <w:t>El lanzamiento de disco es la disciplina deportiva más antigua de la que se tiene memoria. Consiste en lanzar una bola pesada llamada disco a la mayor distancia que sea posible dando un giro y medio sobre el mismo cuerpo</w:t>
      </w:r>
    </w:p>
    <w:p w:rsidR="001C64D6" w:rsidRPr="001C64D6" w:rsidRDefault="001C64D6" w:rsidP="001C64D6">
      <w:pPr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C64D6">
        <w:rPr>
          <w:rFonts w:ascii="Arial" w:eastAsia="Times New Roman" w:hAnsi="Arial" w:cs="Arial"/>
          <w:sz w:val="24"/>
          <w:szCs w:val="24"/>
          <w:lang w:eastAsia="es-CO"/>
        </w:rPr>
        <w:t xml:space="preserve">El objetivo que se persigue en el lanzamiento es lograr la máxima 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distancia horizontal del disco. </w:t>
      </w:r>
      <w:r w:rsidRPr="001C64D6">
        <w:rPr>
          <w:rFonts w:ascii="Arial" w:eastAsia="Times New Roman" w:hAnsi="Arial" w:cs="Arial"/>
          <w:sz w:val="24"/>
          <w:szCs w:val="24"/>
          <w:lang w:eastAsia="es-CO"/>
        </w:rPr>
        <w:t>La consecución de este objetivo se encuentra determinada por dos aspectos, que definen dos etapas dentro del lanzamiento: las leyes biomecánicas del movimiento del sistema “lanzador-artefacto” (técnica de lanzamiento) y las leyes físicas durante la fase de vuelo del artefacto (aerodinámica). En este artículo se aborda la primera etapa: la técnica de lanzamiento.</w:t>
      </w:r>
    </w:p>
    <w:p w:rsidR="001C64D6" w:rsidRPr="001C64D6" w:rsidRDefault="001C64D6" w:rsidP="001C64D6">
      <w:pPr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1C64D6" w:rsidRPr="001C64D6" w:rsidRDefault="001C64D6" w:rsidP="001C6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C64D6">
        <w:rPr>
          <w:rFonts w:ascii="Arial" w:eastAsia="Times New Roman" w:hAnsi="Arial" w:cs="Arial"/>
          <w:sz w:val="24"/>
          <w:szCs w:val="24"/>
          <w:lang w:eastAsia="es-CO"/>
        </w:rPr>
        <w:t xml:space="preserve">La zona de lanzamiento de disco está formada por un círculo que posee un diámetro de 2.5 metros. Esta zona debe de ser delimitada por líneas de 5 centímetros de ancho, pintadas en color blanco. La superficie debe de ser cubierta por algún tipo de material antideslizante. Posee además una jaula con una altura mínima de 7 metros y debe de fabricarse con malla fuerte que sea capaz de detener un objeto muy pesado que se dirige a toda </w:t>
      </w:r>
      <w:proofErr w:type="spellStart"/>
      <w:r w:rsidRPr="001C64D6">
        <w:rPr>
          <w:rFonts w:ascii="Arial" w:eastAsia="Times New Roman" w:hAnsi="Arial" w:cs="Arial"/>
          <w:sz w:val="24"/>
          <w:szCs w:val="24"/>
          <w:lang w:eastAsia="es-CO"/>
        </w:rPr>
        <w:t>velocida</w:t>
      </w:r>
      <w:proofErr w:type="spellEnd"/>
    </w:p>
    <w:p w:rsid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b/>
        </w:rPr>
        <w:t>1. Fase de preparación</w:t>
      </w:r>
      <w:r w:rsidRPr="001C64D6">
        <w:rPr>
          <w:rFonts w:ascii="Arial" w:hAnsi="Arial" w:cs="Arial"/>
        </w:rPr>
        <w:t>, fase de posición de salida y entrada en giro, o fase de primer apoyo doble (gráfico 1): Se inicia en el instante en el que el disco se lleva hacia atrás en el movimiento de balanceo y finaliza en el instante de despegue del pie derecho durante el giro en sentido contrario a las agujas del reloj.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</w:rPr>
        <w:t xml:space="preserve">Gráfico 1. Fase de primer apoyo doble (tomado sin modificaciones de </w:t>
      </w:r>
      <w:proofErr w:type="spellStart"/>
      <w:r w:rsidRPr="001C64D6">
        <w:rPr>
          <w:rFonts w:ascii="Arial" w:hAnsi="Arial" w:cs="Arial"/>
        </w:rPr>
        <w:t>Tidow</w:t>
      </w:r>
      <w:proofErr w:type="spellEnd"/>
      <w:r w:rsidRPr="001C64D6">
        <w:rPr>
          <w:rFonts w:ascii="Arial" w:hAnsi="Arial" w:cs="Arial"/>
        </w:rPr>
        <w:t>, 1994).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noProof/>
        </w:rPr>
        <w:drawing>
          <wp:inline distT="0" distB="0" distL="0" distR="0">
            <wp:extent cx="5105400" cy="1962150"/>
            <wp:effectExtent l="0" t="0" r="0" b="0"/>
            <wp:docPr id="5" name="Imagen 5" descr="https://www.efdeportes.com/efd166/fundamentos-del-lanzamiento-de-disc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fdeportes.com/efd166/fundamentos-del-lanzamiento-de-disco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b/>
        </w:rPr>
        <w:lastRenderedPageBreak/>
        <w:t>2. Fase de entrada</w:t>
      </w:r>
      <w:r w:rsidRPr="001C64D6">
        <w:rPr>
          <w:rFonts w:ascii="Arial" w:hAnsi="Arial" w:cs="Arial"/>
        </w:rPr>
        <w:t>, fase de rotación sobre el pie izquierdo, o fase de primer apoyo simple (gráfico 2): Se inicia en el instante siguiente al de despegue del pie derecho y finaliza en el instante de despegue del pie izquierdo.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</w:rPr>
        <w:t xml:space="preserve">Gráfico 2. Fase de primer apoyo simple (tomado sin modificaciones de </w:t>
      </w:r>
      <w:proofErr w:type="spellStart"/>
      <w:r w:rsidRPr="001C64D6">
        <w:rPr>
          <w:rFonts w:ascii="Arial" w:hAnsi="Arial" w:cs="Arial"/>
        </w:rPr>
        <w:t>Tidow</w:t>
      </w:r>
      <w:proofErr w:type="spellEnd"/>
      <w:r w:rsidRPr="001C64D6">
        <w:rPr>
          <w:rFonts w:ascii="Arial" w:hAnsi="Arial" w:cs="Arial"/>
        </w:rPr>
        <w:t>, 1994).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noProof/>
        </w:rPr>
        <w:drawing>
          <wp:inline distT="0" distB="0" distL="0" distR="0">
            <wp:extent cx="4629150" cy="1504950"/>
            <wp:effectExtent l="0" t="0" r="0" b="0"/>
            <wp:docPr id="4" name="Imagen 4" descr="https://www.efdeportes.com/efd166/fundamentos-del-lanzamiento-de-disc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fdeportes.com/efd166/fundamentos-del-lanzamiento-de-disco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b/>
        </w:rPr>
        <w:t>3. Fase de vuelo o fase aérea</w:t>
      </w:r>
      <w:r w:rsidRPr="001C64D6">
        <w:rPr>
          <w:rFonts w:ascii="Arial" w:hAnsi="Arial" w:cs="Arial"/>
        </w:rPr>
        <w:t xml:space="preserve"> (gráfico 3): Intervalo de tiempo en que ningún pie del lanzador está en contacto con el suelo y transcurre desde el instante siguiente al de despegue del pie izquierdo hasta el instante de contacto del pie derecho. Más que de una fase, se trata de un instante debido a su corta duración (</w:t>
      </w:r>
      <w:proofErr w:type="spellStart"/>
      <w:r w:rsidRPr="001C64D6">
        <w:rPr>
          <w:rFonts w:ascii="Arial" w:hAnsi="Arial" w:cs="Arial"/>
        </w:rPr>
        <w:t>Knicker</w:t>
      </w:r>
      <w:proofErr w:type="spellEnd"/>
      <w:r w:rsidRPr="001C64D6">
        <w:rPr>
          <w:rFonts w:ascii="Arial" w:hAnsi="Arial" w:cs="Arial"/>
        </w:rPr>
        <w:t>, 1992).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</w:rPr>
        <w:t xml:space="preserve">Gráfico 3. Fase aérea (tomado sin modificaciones de </w:t>
      </w:r>
      <w:proofErr w:type="spellStart"/>
      <w:r w:rsidRPr="001C64D6">
        <w:rPr>
          <w:rFonts w:ascii="Arial" w:hAnsi="Arial" w:cs="Arial"/>
        </w:rPr>
        <w:t>Tidow</w:t>
      </w:r>
      <w:proofErr w:type="spellEnd"/>
      <w:r w:rsidRPr="001C64D6">
        <w:rPr>
          <w:rFonts w:ascii="Arial" w:hAnsi="Arial" w:cs="Arial"/>
        </w:rPr>
        <w:t>, 1994).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noProof/>
        </w:rPr>
        <w:drawing>
          <wp:inline distT="0" distB="0" distL="0" distR="0">
            <wp:extent cx="1390650" cy="1676400"/>
            <wp:effectExtent l="0" t="0" r="0" b="0"/>
            <wp:docPr id="3" name="Imagen 3" descr="https://www.efdeportes.com/efd166/fundamentos-del-lanzamiento-de-disc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fdeportes.com/efd166/fundamentos-del-lanzamiento-de-disco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b/>
        </w:rPr>
        <w:t>4. Fase de transición</w:t>
      </w:r>
      <w:r w:rsidRPr="001C64D6">
        <w:rPr>
          <w:rFonts w:ascii="Arial" w:hAnsi="Arial" w:cs="Arial"/>
        </w:rPr>
        <w:t>, fase de llega del pie derecho al suelo y posición de doble apoyo, o fase de segundo apoyo simple (gráfico 4): Se inicia en el instante siguiente al de apoyo del pie derecho después del vuelo y finaliza en el instante de apoyo del pie izquierdo.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</w:rPr>
        <w:t xml:space="preserve">Gráfico 4. Fase de segundo apoyo simple (tomado sin modificaciones de </w:t>
      </w:r>
      <w:proofErr w:type="spellStart"/>
      <w:r w:rsidRPr="001C64D6">
        <w:rPr>
          <w:rFonts w:ascii="Arial" w:hAnsi="Arial" w:cs="Arial"/>
        </w:rPr>
        <w:t>Tidow</w:t>
      </w:r>
      <w:proofErr w:type="spellEnd"/>
      <w:r w:rsidRPr="001C64D6">
        <w:rPr>
          <w:rFonts w:ascii="Arial" w:hAnsi="Arial" w:cs="Arial"/>
        </w:rPr>
        <w:t>, 1994).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noProof/>
        </w:rPr>
        <w:lastRenderedPageBreak/>
        <w:drawing>
          <wp:inline distT="0" distB="0" distL="0" distR="0">
            <wp:extent cx="3962400" cy="1828800"/>
            <wp:effectExtent l="0" t="0" r="0" b="0"/>
            <wp:docPr id="2" name="Imagen 2" descr="https://www.efdeportes.com/efd166/fundamentos-del-lanzamiento-de-disc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fdeportes.com/efd166/fundamentos-del-lanzamiento-de-disco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b/>
        </w:rPr>
        <w:t>5. Fase de suelta</w:t>
      </w:r>
      <w:r w:rsidRPr="001C64D6">
        <w:rPr>
          <w:rFonts w:ascii="Arial" w:hAnsi="Arial" w:cs="Arial"/>
        </w:rPr>
        <w:t>, fase final, o fase de segundo apoyo doble (gráfico 5): Se inicia en el instante siguiente al de apoyo del pie izquierdo y finaliza en el instante en que el disco pierde contacto con la mano del lanzador.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</w:rPr>
        <w:t xml:space="preserve">Gráfico 5. Fase de segundo apoyo doble (tomado sin modificaciones de </w:t>
      </w:r>
      <w:proofErr w:type="spellStart"/>
      <w:r w:rsidRPr="001C64D6">
        <w:rPr>
          <w:rFonts w:ascii="Arial" w:hAnsi="Arial" w:cs="Arial"/>
        </w:rPr>
        <w:t>Tidow</w:t>
      </w:r>
      <w:proofErr w:type="spellEnd"/>
      <w:r w:rsidRPr="001C64D6">
        <w:rPr>
          <w:rFonts w:ascii="Arial" w:hAnsi="Arial" w:cs="Arial"/>
        </w:rPr>
        <w:t>, 1994).</w:t>
      </w:r>
    </w:p>
    <w:p w:rsidR="001C64D6" w:rsidRPr="001C64D6" w:rsidRDefault="001C64D6" w:rsidP="001C64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1C64D6">
        <w:rPr>
          <w:rFonts w:ascii="Arial" w:hAnsi="Arial" w:cs="Arial"/>
          <w:noProof/>
        </w:rPr>
        <w:drawing>
          <wp:inline distT="0" distB="0" distL="0" distR="0">
            <wp:extent cx="4352925" cy="1685925"/>
            <wp:effectExtent l="0" t="0" r="9525" b="9525"/>
            <wp:docPr id="1" name="Imagen 1" descr="https://www.efdeportes.com/efd166/fundamentos-del-lanzamiento-de-disco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fdeportes.com/efd166/fundamentos-del-lanzamiento-de-disco-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D6" w:rsidRDefault="001C64D6" w:rsidP="001C64D6">
      <w:pPr>
        <w:jc w:val="both"/>
        <w:rPr>
          <w:rFonts w:ascii="Arial" w:hAnsi="Arial" w:cs="Arial"/>
          <w:sz w:val="24"/>
          <w:szCs w:val="24"/>
        </w:rPr>
      </w:pPr>
    </w:p>
    <w:p w:rsidR="005C42BA" w:rsidRDefault="005C42BA" w:rsidP="005C42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</w:t>
      </w:r>
    </w:p>
    <w:p w:rsidR="005C42BA" w:rsidRDefault="005C42BA" w:rsidP="005C42BA">
      <w:pPr>
        <w:jc w:val="center"/>
        <w:rPr>
          <w:rFonts w:ascii="Arial" w:hAnsi="Arial" w:cs="Arial"/>
          <w:b/>
          <w:sz w:val="24"/>
          <w:szCs w:val="24"/>
        </w:rPr>
      </w:pPr>
    </w:p>
    <w:p w:rsidR="005C42BA" w:rsidRPr="005C42BA" w:rsidRDefault="005C42BA" w:rsidP="005C42B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C42BA">
        <w:rPr>
          <w:rFonts w:ascii="Arial" w:hAnsi="Arial" w:cs="Arial"/>
          <w:b/>
          <w:sz w:val="24"/>
          <w:szCs w:val="24"/>
        </w:rPr>
        <w:t xml:space="preserve">Consigue un objeto pesado con forma de disco o adapta un </w:t>
      </w:r>
      <w:proofErr w:type="spellStart"/>
      <w:r w:rsidRPr="005C42BA">
        <w:rPr>
          <w:rFonts w:ascii="Arial" w:hAnsi="Arial" w:cs="Arial"/>
          <w:b/>
          <w:sz w:val="24"/>
          <w:szCs w:val="24"/>
        </w:rPr>
        <w:t>frisbee</w:t>
      </w:r>
      <w:proofErr w:type="spellEnd"/>
      <w:r w:rsidRPr="005C42BA">
        <w:rPr>
          <w:rFonts w:ascii="Arial" w:hAnsi="Arial" w:cs="Arial"/>
          <w:b/>
          <w:sz w:val="24"/>
          <w:szCs w:val="24"/>
        </w:rPr>
        <w:t xml:space="preserve"> </w:t>
      </w:r>
    </w:p>
    <w:p w:rsidR="005C42BA" w:rsidRPr="005C42BA" w:rsidRDefault="005C42BA" w:rsidP="005C42B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C42BA">
        <w:rPr>
          <w:rFonts w:ascii="Arial" w:hAnsi="Arial" w:cs="Arial"/>
          <w:b/>
          <w:sz w:val="24"/>
          <w:szCs w:val="24"/>
        </w:rPr>
        <w:t>Grava un vídeo en el que muestres las secuencias de la ejecución del lanzamiento de jabalina</w:t>
      </w:r>
    </w:p>
    <w:sectPr w:rsidR="005C42BA" w:rsidRPr="005C42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37BA"/>
    <w:multiLevelType w:val="hybridMultilevel"/>
    <w:tmpl w:val="F5CC3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6"/>
    <w:rsid w:val="00042801"/>
    <w:rsid w:val="000E6CE5"/>
    <w:rsid w:val="001C64D6"/>
    <w:rsid w:val="00225A76"/>
    <w:rsid w:val="002C60D7"/>
    <w:rsid w:val="00437018"/>
    <w:rsid w:val="0058580C"/>
    <w:rsid w:val="005C42BA"/>
    <w:rsid w:val="006C72E1"/>
    <w:rsid w:val="00701792"/>
    <w:rsid w:val="007204E2"/>
    <w:rsid w:val="00736A08"/>
    <w:rsid w:val="00C1139F"/>
    <w:rsid w:val="00CE55AB"/>
    <w:rsid w:val="00D168D8"/>
    <w:rsid w:val="00EF06DA"/>
    <w:rsid w:val="00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AC76D0-D807-4FCE-A86E-11FC7F9C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rsid w:val="005C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2021-04-16T01:51:00Z</dcterms:created>
  <dcterms:modified xsi:type="dcterms:W3CDTF">2021-04-16T02:06:00Z</dcterms:modified>
</cp:coreProperties>
</file>