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 PRESOCRATICOS.</w:t>
      </w:r>
    </w:p>
    <w:p w:rsidR="00000000" w:rsidDel="00000000" w:rsidP="00000000" w:rsidRDefault="00000000" w:rsidRPr="00000000" w14:paraId="0000000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le llamo así por ser el periodo de filósofos que surgieron antes de Sócrates, filosofía griega que comienza con Tales de Mileto, estos filósofos griegos se les llamaron así hasta la época de Platón.</w:t>
      </w:r>
    </w:p>
    <w:p w:rsidR="00000000" w:rsidDel="00000000" w:rsidP="00000000" w:rsidRDefault="00000000" w:rsidRPr="00000000" w14:paraId="00000003">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Tales, su principio fue “el agua”, *Anaximandro, propuso el “arge” y “apeiron”.</w:t>
      </w:r>
    </w:p>
    <w:p w:rsidR="00000000" w:rsidDel="00000000" w:rsidP="00000000" w:rsidRDefault="00000000" w:rsidRPr="00000000" w14:paraId="0000000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Anaxímenes, el “aire”.</w:t>
      </w:r>
    </w:p>
    <w:p w:rsidR="00000000" w:rsidDel="00000000" w:rsidP="00000000" w:rsidRDefault="00000000" w:rsidRPr="00000000" w14:paraId="0000000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Pienso que de agua están hechas algunas cosas, nosotros tenemos agua en nuestro cuerpo, realmente no hay argumento claro de cómo se transforman las cosas para llegar a ser lo que vemos.</w:t>
      </w:r>
    </w:p>
    <w:p w:rsidR="00000000" w:rsidDel="00000000" w:rsidP="00000000" w:rsidRDefault="00000000" w:rsidRPr="00000000" w14:paraId="00000006">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Pitágoras, el número, se fue por el lado matemático, realmente este elemento numérico no explica todas las disciplinas.</w:t>
      </w:r>
    </w:p>
    <w:p w:rsidR="00000000" w:rsidDel="00000000" w:rsidP="00000000" w:rsidRDefault="00000000" w:rsidRPr="00000000" w14:paraId="00000007">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Parménides y los Eleatas, sus filósofos Jenofanes, Parménides, Zenón de Elea, ellos tienen una argumentación lógica con respecto al ser, pero sus conclusiones no corresponden a nuestro medio físico, por otro lado rechazan la observación.</w:t>
      </w:r>
    </w:p>
    <w:p w:rsidR="00000000" w:rsidDel="00000000" w:rsidP="00000000" w:rsidRDefault="00000000" w:rsidRPr="00000000" w14:paraId="00000008">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Heráclito, “el ser” y “el no ser”, “el fuego”, muy original en introducir el “devenir”, su lenguaje realmente no muy explicativo en cómo se formó la realidad, lo que existe.</w:t>
      </w:r>
    </w:p>
    <w:p w:rsidR="00000000" w:rsidDel="00000000" w:rsidP="00000000" w:rsidRDefault="00000000" w:rsidRPr="00000000" w14:paraId="00000009">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Los atomistas, sus filósofos Leucipo, Demócrito, estos filósofos tuvieron un concepto innovador “el átomo” explican algunos fenómenos, pero su teoría no explica cómo se dan las diferentes formas y figuras.</w:t>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Los pluralistas, Empédocles 4 raíces “agua, aire, fuego, tierra” Y “el amor y el odio” los encargados que estos elementos se unan o se separen.</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Anaxágoras “semillas”, ellos explican la diversidad de las cosas y el funcionamiento del movimiento, pero no son convincentes, tendría que existir semilla de cada cosa.</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Los sofistas, sus filósofos Protágoras “relativismo”, “escepticismo”, Gorgias defensor del “escepticismo”, estos filósofos practicaban asuntos de la cultura, fueron grandes educadores, dejaron a un lado la investigación del universo y la naturaleza.</w:t>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*SOCRATES</w:t>
      </w:r>
      <w:r w:rsidDel="00000000" w:rsidR="00000000" w:rsidRPr="00000000">
        <w:rPr>
          <w:rFonts w:ascii="Arial" w:cs="Arial" w:eastAsia="Arial" w:hAnsi="Arial"/>
          <w:sz w:val="24"/>
          <w:szCs w:val="24"/>
          <w:rtl w:val="0"/>
        </w:rPr>
        <w:t xml:space="preserve">, ética, dialogo, incorporo la “mayéutica” que por medio de preguntas se llegue al conocimiento, su frase “solo sé que nada se”.</w:t>
      </w:r>
    </w:p>
    <w:p w:rsidR="00000000" w:rsidDel="00000000" w:rsidP="00000000" w:rsidRDefault="00000000" w:rsidRPr="00000000" w14:paraId="0000000E">
      <w:pPr>
        <w:spacing w:after="0" w:lineRule="auto"/>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sectPr>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